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5EECE5" w14:textId="354ED0F0" w:rsidR="00C0526E" w:rsidRDefault="00C0526E" w:rsidP="00C0526E">
      <w:pPr>
        <w:jc w:val="center"/>
        <w:rPr>
          <w:rFonts w:ascii="Bookman Old Style" w:hAnsi="Bookman Old Style"/>
          <w:b/>
          <w:bCs/>
          <w:sz w:val="22"/>
          <w:szCs w:val="22"/>
        </w:rPr>
      </w:pPr>
      <w:r w:rsidRPr="00C0526E">
        <w:rPr>
          <w:rFonts w:ascii="Bookman Old Style" w:hAnsi="Bookman Old Style"/>
          <w:b/>
          <w:bCs/>
          <w:sz w:val="22"/>
          <w:szCs w:val="22"/>
        </w:rPr>
        <w:t>NOTA DI LETTURA</w:t>
      </w:r>
    </w:p>
    <w:p w14:paraId="59B2FA49" w14:textId="5702D983" w:rsidR="00C0526E" w:rsidRPr="00C0526E" w:rsidRDefault="00BB739A" w:rsidP="00C0526E">
      <w:pPr>
        <w:jc w:val="both"/>
        <w:rPr>
          <w:rFonts w:ascii="Bookman Old Style" w:hAnsi="Bookman Old Style"/>
          <w:b/>
          <w:bCs/>
          <w:sz w:val="22"/>
          <w:szCs w:val="22"/>
        </w:rPr>
      </w:pPr>
      <w:r>
        <w:rPr>
          <w:rFonts w:ascii="Bookman Old Style" w:hAnsi="Bookman Old Style"/>
          <w:b/>
          <w:bCs/>
          <w:sz w:val="22"/>
          <w:szCs w:val="22"/>
        </w:rPr>
        <w:t>D</w:t>
      </w:r>
      <w:r w:rsidR="00C0526E" w:rsidRPr="00C0526E">
        <w:rPr>
          <w:rFonts w:ascii="Bookman Old Style" w:hAnsi="Bookman Old Style"/>
          <w:b/>
          <w:bCs/>
          <w:sz w:val="22"/>
          <w:szCs w:val="22"/>
        </w:rPr>
        <w:t>ecreto legislativo recante «</w:t>
      </w:r>
      <w:r w:rsidR="00C0526E" w:rsidRPr="00C0526E">
        <w:rPr>
          <w:rFonts w:ascii="Bookman Old Style" w:hAnsi="Bookman Old Style"/>
          <w:b/>
          <w:bCs/>
          <w:i/>
          <w:iCs/>
          <w:sz w:val="22"/>
          <w:szCs w:val="22"/>
        </w:rPr>
        <w:t>Disposizioni in materia di tributi regionali e locali e di federalismo fiscale regionale</w:t>
      </w:r>
      <w:r w:rsidR="00C0526E" w:rsidRPr="00C0526E">
        <w:rPr>
          <w:rFonts w:ascii="Bookman Old Style" w:hAnsi="Bookman Old Style"/>
          <w:b/>
          <w:bCs/>
          <w:sz w:val="22"/>
          <w:szCs w:val="22"/>
        </w:rPr>
        <w:t>»</w:t>
      </w:r>
    </w:p>
    <w:sdt>
      <w:sdtPr>
        <w:rPr>
          <w:rFonts w:asciiTheme="minorHAnsi" w:eastAsiaTheme="minorHAnsi" w:hAnsiTheme="minorHAnsi" w:cstheme="minorBidi"/>
          <w:color w:val="auto"/>
          <w:kern w:val="2"/>
          <w:sz w:val="12"/>
          <w:szCs w:val="12"/>
          <w:lang w:eastAsia="en-US"/>
          <w14:ligatures w14:val="standardContextual"/>
        </w:rPr>
        <w:id w:val="302117361"/>
        <w:docPartObj>
          <w:docPartGallery w:val="Table of Contents"/>
          <w:docPartUnique/>
        </w:docPartObj>
      </w:sdtPr>
      <w:sdtContent>
        <w:p w14:paraId="03C51A49" w14:textId="1089AD34" w:rsidR="00CE758A" w:rsidRPr="00BC26FD" w:rsidRDefault="00CE758A" w:rsidP="00BC26FD">
          <w:pPr>
            <w:pStyle w:val="Titolosommario"/>
            <w:spacing w:before="0" w:after="40" w:line="240" w:lineRule="auto"/>
            <w:rPr>
              <w:sz w:val="16"/>
              <w:szCs w:val="16"/>
            </w:rPr>
          </w:pPr>
        </w:p>
        <w:p w14:paraId="2E13CCEF" w14:textId="069A5878" w:rsidR="00B74F46" w:rsidRPr="00BC26FD" w:rsidRDefault="00CE758A" w:rsidP="00BC26FD">
          <w:pPr>
            <w:pStyle w:val="Sommario2"/>
            <w:spacing w:line="240" w:lineRule="auto"/>
            <w:rPr>
              <w:rFonts w:asciiTheme="minorHAnsi" w:eastAsiaTheme="minorEastAsia" w:hAnsiTheme="minorHAnsi"/>
              <w:sz w:val="22"/>
              <w:szCs w:val="22"/>
              <w:lang w:eastAsia="it-IT"/>
            </w:rPr>
          </w:pPr>
          <w:r w:rsidRPr="00BC26FD">
            <w:rPr>
              <w:sz w:val="12"/>
              <w:szCs w:val="12"/>
            </w:rPr>
            <w:fldChar w:fldCharType="begin"/>
          </w:r>
          <w:r w:rsidRPr="00BC26FD">
            <w:rPr>
              <w:sz w:val="12"/>
              <w:szCs w:val="12"/>
            </w:rPr>
            <w:instrText xml:space="preserve"> TOC \o "1-3" \h \z \u </w:instrText>
          </w:r>
          <w:r w:rsidRPr="00BC26FD">
            <w:rPr>
              <w:sz w:val="12"/>
              <w:szCs w:val="12"/>
            </w:rPr>
            <w:fldChar w:fldCharType="separate"/>
          </w:r>
          <w:hyperlink w:anchor="_Toc240375107" w:history="1">
            <w:r w:rsidR="00B74F46" w:rsidRPr="00BC26FD">
              <w:rPr>
                <w:rStyle w:val="Collegamentoipertestuale"/>
                <w:sz w:val="18"/>
                <w:szCs w:val="18"/>
              </w:rPr>
              <w:t>Premessa</w:t>
            </w:r>
            <w:r w:rsidR="00B74F46" w:rsidRPr="00BC26FD">
              <w:rPr>
                <w:webHidden/>
                <w:sz w:val="18"/>
                <w:szCs w:val="18"/>
              </w:rPr>
              <w:tab/>
            </w:r>
            <w:r w:rsidR="00B74F46" w:rsidRPr="00BC26FD">
              <w:rPr>
                <w:webHidden/>
                <w:sz w:val="18"/>
                <w:szCs w:val="18"/>
              </w:rPr>
              <w:fldChar w:fldCharType="begin"/>
            </w:r>
            <w:r w:rsidR="00B74F46" w:rsidRPr="00BC26FD">
              <w:rPr>
                <w:webHidden/>
                <w:sz w:val="18"/>
                <w:szCs w:val="18"/>
              </w:rPr>
              <w:instrText xml:space="preserve"> PAGEREF _Toc240375107 \h </w:instrText>
            </w:r>
            <w:r w:rsidR="00B74F46" w:rsidRPr="00BC26FD">
              <w:rPr>
                <w:webHidden/>
                <w:sz w:val="18"/>
                <w:szCs w:val="18"/>
              </w:rPr>
            </w:r>
            <w:r w:rsidR="00B74F46" w:rsidRPr="00BC26FD">
              <w:rPr>
                <w:webHidden/>
                <w:sz w:val="18"/>
                <w:szCs w:val="18"/>
              </w:rPr>
              <w:fldChar w:fldCharType="separate"/>
            </w:r>
            <w:r w:rsidR="005620E4">
              <w:rPr>
                <w:webHidden/>
                <w:sz w:val="18"/>
                <w:szCs w:val="18"/>
              </w:rPr>
              <w:t>2</w:t>
            </w:r>
            <w:r w:rsidR="00B74F46" w:rsidRPr="00BC26FD">
              <w:rPr>
                <w:webHidden/>
                <w:sz w:val="18"/>
                <w:szCs w:val="18"/>
              </w:rPr>
              <w:fldChar w:fldCharType="end"/>
            </w:r>
          </w:hyperlink>
        </w:p>
        <w:p w14:paraId="48A9BC53" w14:textId="4F7296E6" w:rsidR="00B74F46" w:rsidRPr="00BC26FD" w:rsidRDefault="00B74F46" w:rsidP="00BC26FD">
          <w:pPr>
            <w:pStyle w:val="Sommario2"/>
            <w:spacing w:line="240" w:lineRule="auto"/>
            <w:rPr>
              <w:rFonts w:asciiTheme="minorHAnsi" w:eastAsiaTheme="minorEastAsia" w:hAnsiTheme="minorHAnsi"/>
              <w:sz w:val="22"/>
              <w:szCs w:val="22"/>
              <w:lang w:eastAsia="it-IT"/>
            </w:rPr>
          </w:pPr>
          <w:hyperlink w:anchor="_Toc240375108" w:history="1">
            <w:r w:rsidRPr="00BC26FD">
              <w:rPr>
                <w:rStyle w:val="Collegamentoipertestuale"/>
                <w:sz w:val="18"/>
                <w:szCs w:val="18"/>
              </w:rPr>
              <w:t>Norme generali</w:t>
            </w:r>
            <w:r w:rsidRPr="00BC26FD">
              <w:rPr>
                <w:webHidden/>
                <w:sz w:val="18"/>
                <w:szCs w:val="18"/>
              </w:rPr>
              <w:tab/>
            </w:r>
            <w:r w:rsidRPr="00BC26FD">
              <w:rPr>
                <w:webHidden/>
                <w:sz w:val="18"/>
                <w:szCs w:val="18"/>
              </w:rPr>
              <w:fldChar w:fldCharType="begin"/>
            </w:r>
            <w:r w:rsidRPr="00BC26FD">
              <w:rPr>
                <w:webHidden/>
                <w:sz w:val="18"/>
                <w:szCs w:val="18"/>
              </w:rPr>
              <w:instrText xml:space="preserve"> PAGEREF _Toc240375108 \h </w:instrText>
            </w:r>
            <w:r w:rsidRPr="00BC26FD">
              <w:rPr>
                <w:webHidden/>
                <w:sz w:val="18"/>
                <w:szCs w:val="18"/>
              </w:rPr>
            </w:r>
            <w:r w:rsidRPr="00BC26FD">
              <w:rPr>
                <w:webHidden/>
                <w:sz w:val="18"/>
                <w:szCs w:val="18"/>
              </w:rPr>
              <w:fldChar w:fldCharType="separate"/>
            </w:r>
            <w:r w:rsidR="005620E4">
              <w:rPr>
                <w:webHidden/>
                <w:sz w:val="18"/>
                <w:szCs w:val="18"/>
              </w:rPr>
              <w:t>3</w:t>
            </w:r>
            <w:r w:rsidRPr="00BC26FD">
              <w:rPr>
                <w:webHidden/>
                <w:sz w:val="18"/>
                <w:szCs w:val="18"/>
              </w:rPr>
              <w:fldChar w:fldCharType="end"/>
            </w:r>
          </w:hyperlink>
        </w:p>
        <w:p w14:paraId="32AA8B47" w14:textId="63D77512" w:rsidR="00B74F46" w:rsidRPr="00BC26FD" w:rsidRDefault="00B74F46" w:rsidP="00BC26FD">
          <w:pPr>
            <w:pStyle w:val="Sommario2"/>
            <w:spacing w:line="240" w:lineRule="auto"/>
            <w:ind w:left="284"/>
            <w:rPr>
              <w:rFonts w:asciiTheme="minorHAnsi" w:eastAsiaTheme="minorEastAsia" w:hAnsiTheme="minorHAnsi"/>
              <w:sz w:val="22"/>
              <w:szCs w:val="22"/>
              <w:lang w:eastAsia="it-IT"/>
            </w:rPr>
          </w:pPr>
          <w:hyperlink w:anchor="_Toc240375109" w:history="1">
            <w:r w:rsidRPr="00BC26FD">
              <w:rPr>
                <w:rStyle w:val="Collegamentoipertestuale"/>
                <w:sz w:val="18"/>
                <w:szCs w:val="18"/>
              </w:rPr>
              <w:t>Articolo 1 – Potenziamento delle forme di collaborazione con il contribuente</w:t>
            </w:r>
            <w:r w:rsidRPr="00BC26FD">
              <w:rPr>
                <w:webHidden/>
                <w:sz w:val="18"/>
                <w:szCs w:val="18"/>
              </w:rPr>
              <w:tab/>
            </w:r>
            <w:r w:rsidRPr="00BC26FD">
              <w:rPr>
                <w:webHidden/>
                <w:sz w:val="18"/>
                <w:szCs w:val="18"/>
              </w:rPr>
              <w:fldChar w:fldCharType="begin"/>
            </w:r>
            <w:r w:rsidRPr="00BC26FD">
              <w:rPr>
                <w:webHidden/>
                <w:sz w:val="18"/>
                <w:szCs w:val="18"/>
              </w:rPr>
              <w:instrText xml:space="preserve"> PAGEREF _Toc240375109 \h </w:instrText>
            </w:r>
            <w:r w:rsidRPr="00BC26FD">
              <w:rPr>
                <w:webHidden/>
                <w:sz w:val="18"/>
                <w:szCs w:val="18"/>
              </w:rPr>
            </w:r>
            <w:r w:rsidRPr="00BC26FD">
              <w:rPr>
                <w:webHidden/>
                <w:sz w:val="18"/>
                <w:szCs w:val="18"/>
              </w:rPr>
              <w:fldChar w:fldCharType="separate"/>
            </w:r>
            <w:r w:rsidR="005620E4">
              <w:rPr>
                <w:webHidden/>
                <w:sz w:val="18"/>
                <w:szCs w:val="18"/>
              </w:rPr>
              <w:t>3</w:t>
            </w:r>
            <w:r w:rsidRPr="00BC26FD">
              <w:rPr>
                <w:webHidden/>
                <w:sz w:val="18"/>
                <w:szCs w:val="18"/>
              </w:rPr>
              <w:fldChar w:fldCharType="end"/>
            </w:r>
          </w:hyperlink>
        </w:p>
        <w:p w14:paraId="53ADF570" w14:textId="013CFB15" w:rsidR="00B74F46" w:rsidRPr="00BC26FD" w:rsidRDefault="00B74F46" w:rsidP="00BC26FD">
          <w:pPr>
            <w:pStyle w:val="Sommario2"/>
            <w:spacing w:line="240" w:lineRule="auto"/>
            <w:ind w:left="284"/>
            <w:rPr>
              <w:rFonts w:asciiTheme="minorHAnsi" w:eastAsiaTheme="minorEastAsia" w:hAnsiTheme="minorHAnsi"/>
              <w:sz w:val="22"/>
              <w:szCs w:val="22"/>
              <w:lang w:eastAsia="it-IT"/>
            </w:rPr>
          </w:pPr>
          <w:hyperlink w:anchor="_Toc240375110" w:history="1">
            <w:r w:rsidRPr="00BC26FD">
              <w:rPr>
                <w:rStyle w:val="Collegamentoipertestuale"/>
                <w:sz w:val="18"/>
                <w:szCs w:val="18"/>
              </w:rPr>
              <w:t>Articolo 2 – Riduzione di aliquote e tariffe in caso di addebito diretto</w:t>
            </w:r>
            <w:r w:rsidRPr="00BC26FD">
              <w:rPr>
                <w:webHidden/>
                <w:sz w:val="18"/>
                <w:szCs w:val="18"/>
              </w:rPr>
              <w:tab/>
            </w:r>
            <w:r w:rsidRPr="00BC26FD">
              <w:rPr>
                <w:webHidden/>
                <w:sz w:val="18"/>
                <w:szCs w:val="18"/>
              </w:rPr>
              <w:fldChar w:fldCharType="begin"/>
            </w:r>
            <w:r w:rsidRPr="00BC26FD">
              <w:rPr>
                <w:webHidden/>
                <w:sz w:val="18"/>
                <w:szCs w:val="18"/>
              </w:rPr>
              <w:instrText xml:space="preserve"> PAGEREF _Toc240375110 \h </w:instrText>
            </w:r>
            <w:r w:rsidRPr="00BC26FD">
              <w:rPr>
                <w:webHidden/>
                <w:sz w:val="18"/>
                <w:szCs w:val="18"/>
              </w:rPr>
            </w:r>
            <w:r w:rsidRPr="00BC26FD">
              <w:rPr>
                <w:webHidden/>
                <w:sz w:val="18"/>
                <w:szCs w:val="18"/>
              </w:rPr>
              <w:fldChar w:fldCharType="separate"/>
            </w:r>
            <w:r w:rsidR="005620E4">
              <w:rPr>
                <w:webHidden/>
                <w:sz w:val="18"/>
                <w:szCs w:val="18"/>
              </w:rPr>
              <w:t>4</w:t>
            </w:r>
            <w:r w:rsidRPr="00BC26FD">
              <w:rPr>
                <w:webHidden/>
                <w:sz w:val="18"/>
                <w:szCs w:val="18"/>
              </w:rPr>
              <w:fldChar w:fldCharType="end"/>
            </w:r>
          </w:hyperlink>
        </w:p>
        <w:p w14:paraId="53ADB0F0" w14:textId="0F4F6D6E" w:rsidR="00B74F46" w:rsidRPr="00BC26FD" w:rsidRDefault="00B74F46" w:rsidP="00BC26FD">
          <w:pPr>
            <w:pStyle w:val="Sommario2"/>
            <w:spacing w:line="240" w:lineRule="auto"/>
            <w:ind w:left="284"/>
            <w:rPr>
              <w:rFonts w:asciiTheme="minorHAnsi" w:eastAsiaTheme="minorEastAsia" w:hAnsiTheme="minorHAnsi"/>
              <w:sz w:val="22"/>
              <w:szCs w:val="22"/>
              <w:lang w:eastAsia="it-IT"/>
            </w:rPr>
          </w:pPr>
          <w:hyperlink w:anchor="_Toc240375111" w:history="1">
            <w:r w:rsidRPr="00BC26FD">
              <w:rPr>
                <w:rStyle w:val="Collegamentoipertestuale"/>
                <w:sz w:val="18"/>
                <w:szCs w:val="18"/>
              </w:rPr>
              <w:t>Articolo 3 – Adempimento spontaneo degli obblighi tributari</w:t>
            </w:r>
            <w:r w:rsidRPr="00BC26FD">
              <w:rPr>
                <w:webHidden/>
                <w:sz w:val="18"/>
                <w:szCs w:val="18"/>
              </w:rPr>
              <w:tab/>
            </w:r>
            <w:r w:rsidRPr="00BC26FD">
              <w:rPr>
                <w:webHidden/>
                <w:sz w:val="18"/>
                <w:szCs w:val="18"/>
              </w:rPr>
              <w:fldChar w:fldCharType="begin"/>
            </w:r>
            <w:r w:rsidRPr="00BC26FD">
              <w:rPr>
                <w:webHidden/>
                <w:sz w:val="18"/>
                <w:szCs w:val="18"/>
              </w:rPr>
              <w:instrText xml:space="preserve"> PAGEREF _Toc240375111 \h </w:instrText>
            </w:r>
            <w:r w:rsidRPr="00BC26FD">
              <w:rPr>
                <w:webHidden/>
                <w:sz w:val="18"/>
                <w:szCs w:val="18"/>
              </w:rPr>
            </w:r>
            <w:r w:rsidRPr="00BC26FD">
              <w:rPr>
                <w:webHidden/>
                <w:sz w:val="18"/>
                <w:szCs w:val="18"/>
              </w:rPr>
              <w:fldChar w:fldCharType="separate"/>
            </w:r>
            <w:r w:rsidR="005620E4">
              <w:rPr>
                <w:webHidden/>
                <w:sz w:val="18"/>
                <w:szCs w:val="18"/>
              </w:rPr>
              <w:t>5</w:t>
            </w:r>
            <w:r w:rsidRPr="00BC26FD">
              <w:rPr>
                <w:webHidden/>
                <w:sz w:val="18"/>
                <w:szCs w:val="18"/>
              </w:rPr>
              <w:fldChar w:fldCharType="end"/>
            </w:r>
          </w:hyperlink>
        </w:p>
        <w:p w14:paraId="4969CC91" w14:textId="474BFDFE" w:rsidR="00B74F46" w:rsidRPr="00BC26FD" w:rsidRDefault="00B74F46" w:rsidP="00BC26FD">
          <w:pPr>
            <w:pStyle w:val="Sommario2"/>
            <w:spacing w:line="240" w:lineRule="auto"/>
            <w:ind w:left="284"/>
            <w:rPr>
              <w:rFonts w:asciiTheme="minorHAnsi" w:eastAsiaTheme="minorEastAsia" w:hAnsiTheme="minorHAnsi"/>
              <w:sz w:val="22"/>
              <w:szCs w:val="22"/>
              <w:lang w:eastAsia="it-IT"/>
            </w:rPr>
          </w:pPr>
          <w:hyperlink w:anchor="_Toc240375112" w:history="1">
            <w:r w:rsidRPr="00BC26FD">
              <w:rPr>
                <w:rStyle w:val="Collegamentoipertestuale"/>
                <w:sz w:val="18"/>
                <w:szCs w:val="18"/>
              </w:rPr>
              <w:t>Articolo 4 – Estensione degli istituti del Codice della crisi ai tributi territoriali</w:t>
            </w:r>
            <w:r w:rsidRPr="00BC26FD">
              <w:rPr>
                <w:webHidden/>
                <w:sz w:val="18"/>
                <w:szCs w:val="18"/>
              </w:rPr>
              <w:tab/>
            </w:r>
            <w:r w:rsidRPr="00BC26FD">
              <w:rPr>
                <w:webHidden/>
                <w:sz w:val="18"/>
                <w:szCs w:val="18"/>
              </w:rPr>
              <w:fldChar w:fldCharType="begin"/>
            </w:r>
            <w:r w:rsidRPr="00BC26FD">
              <w:rPr>
                <w:webHidden/>
                <w:sz w:val="18"/>
                <w:szCs w:val="18"/>
              </w:rPr>
              <w:instrText xml:space="preserve"> PAGEREF _Toc240375112 \h </w:instrText>
            </w:r>
            <w:r w:rsidRPr="00BC26FD">
              <w:rPr>
                <w:webHidden/>
                <w:sz w:val="18"/>
                <w:szCs w:val="18"/>
              </w:rPr>
            </w:r>
            <w:r w:rsidRPr="00BC26FD">
              <w:rPr>
                <w:webHidden/>
                <w:sz w:val="18"/>
                <w:szCs w:val="18"/>
              </w:rPr>
              <w:fldChar w:fldCharType="separate"/>
            </w:r>
            <w:r w:rsidR="005620E4">
              <w:rPr>
                <w:webHidden/>
                <w:sz w:val="18"/>
                <w:szCs w:val="18"/>
              </w:rPr>
              <w:t>6</w:t>
            </w:r>
            <w:r w:rsidRPr="00BC26FD">
              <w:rPr>
                <w:webHidden/>
                <w:sz w:val="18"/>
                <w:szCs w:val="18"/>
              </w:rPr>
              <w:fldChar w:fldCharType="end"/>
            </w:r>
          </w:hyperlink>
        </w:p>
        <w:p w14:paraId="7AD9A74C" w14:textId="60466DA8" w:rsidR="00B74F46" w:rsidRPr="00BC26FD" w:rsidRDefault="00B74F46" w:rsidP="00BC26FD">
          <w:pPr>
            <w:pStyle w:val="Sommario2"/>
            <w:spacing w:line="240" w:lineRule="auto"/>
            <w:ind w:left="284"/>
            <w:rPr>
              <w:rFonts w:asciiTheme="minorHAnsi" w:eastAsiaTheme="minorEastAsia" w:hAnsiTheme="minorHAnsi"/>
              <w:sz w:val="22"/>
              <w:szCs w:val="22"/>
              <w:lang w:eastAsia="it-IT"/>
            </w:rPr>
          </w:pPr>
          <w:hyperlink w:anchor="_Toc240375113" w:history="1">
            <w:r w:rsidRPr="00BC26FD">
              <w:rPr>
                <w:rStyle w:val="Collegamentoipertestuale"/>
                <w:sz w:val="18"/>
                <w:szCs w:val="18"/>
              </w:rPr>
              <w:t>Articolo 5 – Vigilanza sui soggetti iscritti nell’Albo</w:t>
            </w:r>
            <w:r w:rsidRPr="00BC26FD">
              <w:rPr>
                <w:webHidden/>
                <w:sz w:val="18"/>
                <w:szCs w:val="18"/>
              </w:rPr>
              <w:tab/>
            </w:r>
            <w:r w:rsidRPr="00BC26FD">
              <w:rPr>
                <w:webHidden/>
                <w:sz w:val="18"/>
                <w:szCs w:val="18"/>
              </w:rPr>
              <w:fldChar w:fldCharType="begin"/>
            </w:r>
            <w:r w:rsidRPr="00BC26FD">
              <w:rPr>
                <w:webHidden/>
                <w:sz w:val="18"/>
                <w:szCs w:val="18"/>
              </w:rPr>
              <w:instrText xml:space="preserve"> PAGEREF _Toc240375113 \h </w:instrText>
            </w:r>
            <w:r w:rsidRPr="00BC26FD">
              <w:rPr>
                <w:webHidden/>
                <w:sz w:val="18"/>
                <w:szCs w:val="18"/>
              </w:rPr>
            </w:r>
            <w:r w:rsidRPr="00BC26FD">
              <w:rPr>
                <w:webHidden/>
                <w:sz w:val="18"/>
                <w:szCs w:val="18"/>
              </w:rPr>
              <w:fldChar w:fldCharType="separate"/>
            </w:r>
            <w:r w:rsidR="005620E4">
              <w:rPr>
                <w:webHidden/>
                <w:sz w:val="18"/>
                <w:szCs w:val="18"/>
              </w:rPr>
              <w:t>7</w:t>
            </w:r>
            <w:r w:rsidRPr="00BC26FD">
              <w:rPr>
                <w:webHidden/>
                <w:sz w:val="18"/>
                <w:szCs w:val="18"/>
              </w:rPr>
              <w:fldChar w:fldCharType="end"/>
            </w:r>
          </w:hyperlink>
        </w:p>
        <w:p w14:paraId="0AF3F989" w14:textId="09391690" w:rsidR="00B74F46" w:rsidRPr="00BC26FD" w:rsidRDefault="00B74F46" w:rsidP="00BC26FD">
          <w:pPr>
            <w:pStyle w:val="Sommario2"/>
            <w:spacing w:line="240" w:lineRule="auto"/>
            <w:ind w:left="284"/>
            <w:rPr>
              <w:rFonts w:asciiTheme="minorHAnsi" w:eastAsiaTheme="minorEastAsia" w:hAnsiTheme="minorHAnsi"/>
              <w:sz w:val="22"/>
              <w:szCs w:val="22"/>
              <w:lang w:eastAsia="it-IT"/>
            </w:rPr>
          </w:pPr>
          <w:hyperlink w:anchor="_Toc240375114" w:history="1">
            <w:r w:rsidRPr="00BC26FD">
              <w:rPr>
                <w:rStyle w:val="Collegamentoipertestuale"/>
                <w:sz w:val="18"/>
                <w:szCs w:val="18"/>
              </w:rPr>
              <w:t>Articolo 6 – Razionalizzazione delle norme per l’iscrizione nell’Albo</w:t>
            </w:r>
            <w:r w:rsidRPr="00BC26FD">
              <w:rPr>
                <w:webHidden/>
                <w:sz w:val="18"/>
                <w:szCs w:val="18"/>
              </w:rPr>
              <w:tab/>
            </w:r>
            <w:r w:rsidRPr="00BC26FD">
              <w:rPr>
                <w:webHidden/>
                <w:sz w:val="18"/>
                <w:szCs w:val="18"/>
              </w:rPr>
              <w:fldChar w:fldCharType="begin"/>
            </w:r>
            <w:r w:rsidRPr="00BC26FD">
              <w:rPr>
                <w:webHidden/>
                <w:sz w:val="18"/>
                <w:szCs w:val="18"/>
              </w:rPr>
              <w:instrText xml:space="preserve"> PAGEREF _Toc240375114 \h </w:instrText>
            </w:r>
            <w:r w:rsidRPr="00BC26FD">
              <w:rPr>
                <w:webHidden/>
                <w:sz w:val="18"/>
                <w:szCs w:val="18"/>
              </w:rPr>
            </w:r>
            <w:r w:rsidRPr="00BC26FD">
              <w:rPr>
                <w:webHidden/>
                <w:sz w:val="18"/>
                <w:szCs w:val="18"/>
              </w:rPr>
              <w:fldChar w:fldCharType="separate"/>
            </w:r>
            <w:r w:rsidR="005620E4">
              <w:rPr>
                <w:webHidden/>
                <w:sz w:val="18"/>
                <w:szCs w:val="18"/>
              </w:rPr>
              <w:t>8</w:t>
            </w:r>
            <w:r w:rsidRPr="00BC26FD">
              <w:rPr>
                <w:webHidden/>
                <w:sz w:val="18"/>
                <w:szCs w:val="18"/>
              </w:rPr>
              <w:fldChar w:fldCharType="end"/>
            </w:r>
          </w:hyperlink>
        </w:p>
        <w:p w14:paraId="4CB8B80A" w14:textId="593C336F" w:rsidR="00B74F46" w:rsidRPr="00BC26FD" w:rsidRDefault="00B74F46" w:rsidP="00BC26FD">
          <w:pPr>
            <w:pStyle w:val="Sommario2"/>
            <w:spacing w:line="240" w:lineRule="auto"/>
            <w:ind w:left="284"/>
            <w:rPr>
              <w:rFonts w:asciiTheme="minorHAnsi" w:eastAsiaTheme="minorEastAsia" w:hAnsiTheme="minorHAnsi"/>
              <w:sz w:val="22"/>
              <w:szCs w:val="22"/>
              <w:lang w:eastAsia="it-IT"/>
            </w:rPr>
          </w:pPr>
          <w:hyperlink w:anchor="_Toc240375115" w:history="1">
            <w:r w:rsidRPr="00BC26FD">
              <w:rPr>
                <w:rStyle w:val="Collegamentoipertestuale"/>
                <w:sz w:val="18"/>
                <w:szCs w:val="18"/>
              </w:rPr>
              <w:t>Articolo 7 – Modifiche in materia di pagamento dei tributi locali</w:t>
            </w:r>
            <w:r w:rsidRPr="00BC26FD">
              <w:rPr>
                <w:webHidden/>
                <w:sz w:val="18"/>
                <w:szCs w:val="18"/>
              </w:rPr>
              <w:tab/>
            </w:r>
            <w:r w:rsidRPr="00BC26FD">
              <w:rPr>
                <w:webHidden/>
                <w:sz w:val="18"/>
                <w:szCs w:val="18"/>
              </w:rPr>
              <w:fldChar w:fldCharType="begin"/>
            </w:r>
            <w:r w:rsidRPr="00BC26FD">
              <w:rPr>
                <w:webHidden/>
                <w:sz w:val="18"/>
                <w:szCs w:val="18"/>
              </w:rPr>
              <w:instrText xml:space="preserve"> PAGEREF _Toc240375115 \h </w:instrText>
            </w:r>
            <w:r w:rsidRPr="00BC26FD">
              <w:rPr>
                <w:webHidden/>
                <w:sz w:val="18"/>
                <w:szCs w:val="18"/>
              </w:rPr>
            </w:r>
            <w:r w:rsidRPr="00BC26FD">
              <w:rPr>
                <w:webHidden/>
                <w:sz w:val="18"/>
                <w:szCs w:val="18"/>
              </w:rPr>
              <w:fldChar w:fldCharType="separate"/>
            </w:r>
            <w:r w:rsidR="005620E4">
              <w:rPr>
                <w:webHidden/>
                <w:sz w:val="18"/>
                <w:szCs w:val="18"/>
              </w:rPr>
              <w:t>8</w:t>
            </w:r>
            <w:r w:rsidRPr="00BC26FD">
              <w:rPr>
                <w:webHidden/>
                <w:sz w:val="18"/>
                <w:szCs w:val="18"/>
              </w:rPr>
              <w:fldChar w:fldCharType="end"/>
            </w:r>
          </w:hyperlink>
        </w:p>
        <w:p w14:paraId="6579251B" w14:textId="7AA4E94E" w:rsidR="00B74F46" w:rsidRPr="00BC26FD" w:rsidRDefault="00B74F46" w:rsidP="00BC26FD">
          <w:pPr>
            <w:pStyle w:val="Sommario2"/>
            <w:spacing w:line="240" w:lineRule="auto"/>
            <w:ind w:left="284"/>
            <w:rPr>
              <w:rFonts w:asciiTheme="minorHAnsi" w:eastAsiaTheme="minorEastAsia" w:hAnsiTheme="minorHAnsi"/>
              <w:sz w:val="22"/>
              <w:szCs w:val="22"/>
              <w:lang w:eastAsia="it-IT"/>
            </w:rPr>
          </w:pPr>
          <w:hyperlink w:anchor="_Toc240375116" w:history="1">
            <w:r w:rsidRPr="00BC26FD">
              <w:rPr>
                <w:rStyle w:val="Collegamentoipertestuale"/>
                <w:sz w:val="18"/>
                <w:szCs w:val="18"/>
              </w:rPr>
              <w:t>Articolo 8 – Atto di accertamento esecutivo per i tributi regionali</w:t>
            </w:r>
            <w:r w:rsidRPr="00BC26FD">
              <w:rPr>
                <w:webHidden/>
                <w:sz w:val="18"/>
                <w:szCs w:val="18"/>
              </w:rPr>
              <w:tab/>
            </w:r>
            <w:r w:rsidRPr="00BC26FD">
              <w:rPr>
                <w:webHidden/>
                <w:sz w:val="18"/>
                <w:szCs w:val="18"/>
              </w:rPr>
              <w:fldChar w:fldCharType="begin"/>
            </w:r>
            <w:r w:rsidRPr="00BC26FD">
              <w:rPr>
                <w:webHidden/>
                <w:sz w:val="18"/>
                <w:szCs w:val="18"/>
              </w:rPr>
              <w:instrText xml:space="preserve"> PAGEREF _Toc240375116 \h </w:instrText>
            </w:r>
            <w:r w:rsidRPr="00BC26FD">
              <w:rPr>
                <w:webHidden/>
                <w:sz w:val="18"/>
                <w:szCs w:val="18"/>
              </w:rPr>
            </w:r>
            <w:r w:rsidRPr="00BC26FD">
              <w:rPr>
                <w:webHidden/>
                <w:sz w:val="18"/>
                <w:szCs w:val="18"/>
              </w:rPr>
              <w:fldChar w:fldCharType="separate"/>
            </w:r>
            <w:r w:rsidR="005620E4">
              <w:rPr>
                <w:webHidden/>
                <w:sz w:val="18"/>
                <w:szCs w:val="18"/>
              </w:rPr>
              <w:t>8</w:t>
            </w:r>
            <w:r w:rsidRPr="00BC26FD">
              <w:rPr>
                <w:webHidden/>
                <w:sz w:val="18"/>
                <w:szCs w:val="18"/>
              </w:rPr>
              <w:fldChar w:fldCharType="end"/>
            </w:r>
          </w:hyperlink>
        </w:p>
        <w:p w14:paraId="739175F7" w14:textId="5FB75A12" w:rsidR="00B74F46" w:rsidRPr="00BC26FD" w:rsidRDefault="00B74F46" w:rsidP="00BC26FD">
          <w:pPr>
            <w:pStyle w:val="Sommario2"/>
            <w:spacing w:line="240" w:lineRule="auto"/>
            <w:ind w:left="284"/>
            <w:rPr>
              <w:rFonts w:asciiTheme="minorHAnsi" w:eastAsiaTheme="minorEastAsia" w:hAnsiTheme="minorHAnsi"/>
              <w:sz w:val="22"/>
              <w:szCs w:val="22"/>
              <w:lang w:eastAsia="it-IT"/>
            </w:rPr>
          </w:pPr>
          <w:hyperlink w:anchor="_Toc240375117" w:history="1">
            <w:r w:rsidRPr="00BC26FD">
              <w:rPr>
                <w:rStyle w:val="Collegamentoipertestuale"/>
                <w:sz w:val="18"/>
                <w:szCs w:val="18"/>
              </w:rPr>
              <w:t>Articolo 9 – Modifiche all’accertamento esecutivo dei tributi locali</w:t>
            </w:r>
            <w:r w:rsidRPr="00BC26FD">
              <w:rPr>
                <w:webHidden/>
                <w:sz w:val="18"/>
                <w:szCs w:val="18"/>
              </w:rPr>
              <w:tab/>
            </w:r>
            <w:r w:rsidRPr="00BC26FD">
              <w:rPr>
                <w:webHidden/>
                <w:sz w:val="18"/>
                <w:szCs w:val="18"/>
              </w:rPr>
              <w:fldChar w:fldCharType="begin"/>
            </w:r>
            <w:r w:rsidRPr="00BC26FD">
              <w:rPr>
                <w:webHidden/>
                <w:sz w:val="18"/>
                <w:szCs w:val="18"/>
              </w:rPr>
              <w:instrText xml:space="preserve"> PAGEREF _Toc240375117 \h </w:instrText>
            </w:r>
            <w:r w:rsidRPr="00BC26FD">
              <w:rPr>
                <w:webHidden/>
                <w:sz w:val="18"/>
                <w:szCs w:val="18"/>
              </w:rPr>
            </w:r>
            <w:r w:rsidRPr="00BC26FD">
              <w:rPr>
                <w:webHidden/>
                <w:sz w:val="18"/>
                <w:szCs w:val="18"/>
              </w:rPr>
              <w:fldChar w:fldCharType="separate"/>
            </w:r>
            <w:r w:rsidR="005620E4">
              <w:rPr>
                <w:webHidden/>
                <w:sz w:val="18"/>
                <w:szCs w:val="18"/>
              </w:rPr>
              <w:t>9</w:t>
            </w:r>
            <w:r w:rsidRPr="00BC26FD">
              <w:rPr>
                <w:webHidden/>
                <w:sz w:val="18"/>
                <w:szCs w:val="18"/>
              </w:rPr>
              <w:fldChar w:fldCharType="end"/>
            </w:r>
          </w:hyperlink>
        </w:p>
        <w:p w14:paraId="2E6779EB" w14:textId="23973D57" w:rsidR="00B74F46" w:rsidRPr="00BC26FD" w:rsidRDefault="00B74F46" w:rsidP="00BC26FD">
          <w:pPr>
            <w:pStyle w:val="Sommario2"/>
            <w:spacing w:line="240" w:lineRule="auto"/>
            <w:ind w:left="284"/>
            <w:rPr>
              <w:rFonts w:asciiTheme="minorHAnsi" w:eastAsiaTheme="minorEastAsia" w:hAnsiTheme="minorHAnsi"/>
              <w:sz w:val="22"/>
              <w:szCs w:val="22"/>
              <w:lang w:eastAsia="it-IT"/>
            </w:rPr>
          </w:pPr>
          <w:hyperlink w:anchor="_Toc240375118" w:history="1">
            <w:r w:rsidRPr="00BC26FD">
              <w:rPr>
                <w:rStyle w:val="Collegamentoipertestuale"/>
                <w:sz w:val="18"/>
                <w:szCs w:val="18"/>
              </w:rPr>
              <w:t>Articolo 10 – Privilegio generale sui mobili</w:t>
            </w:r>
            <w:r w:rsidRPr="00BC26FD">
              <w:rPr>
                <w:webHidden/>
                <w:sz w:val="18"/>
                <w:szCs w:val="18"/>
              </w:rPr>
              <w:tab/>
            </w:r>
            <w:r w:rsidRPr="00BC26FD">
              <w:rPr>
                <w:webHidden/>
                <w:sz w:val="18"/>
                <w:szCs w:val="18"/>
              </w:rPr>
              <w:fldChar w:fldCharType="begin"/>
            </w:r>
            <w:r w:rsidRPr="00BC26FD">
              <w:rPr>
                <w:webHidden/>
                <w:sz w:val="18"/>
                <w:szCs w:val="18"/>
              </w:rPr>
              <w:instrText xml:space="preserve"> PAGEREF _Toc240375118 \h </w:instrText>
            </w:r>
            <w:r w:rsidRPr="00BC26FD">
              <w:rPr>
                <w:webHidden/>
                <w:sz w:val="18"/>
                <w:szCs w:val="18"/>
              </w:rPr>
            </w:r>
            <w:r w:rsidRPr="00BC26FD">
              <w:rPr>
                <w:webHidden/>
                <w:sz w:val="18"/>
                <w:szCs w:val="18"/>
              </w:rPr>
              <w:fldChar w:fldCharType="separate"/>
            </w:r>
            <w:r w:rsidR="005620E4">
              <w:rPr>
                <w:webHidden/>
                <w:sz w:val="18"/>
                <w:szCs w:val="18"/>
              </w:rPr>
              <w:t>9</w:t>
            </w:r>
            <w:r w:rsidRPr="00BC26FD">
              <w:rPr>
                <w:webHidden/>
                <w:sz w:val="18"/>
                <w:szCs w:val="18"/>
              </w:rPr>
              <w:fldChar w:fldCharType="end"/>
            </w:r>
          </w:hyperlink>
        </w:p>
        <w:p w14:paraId="52BD0982" w14:textId="7C18EA93" w:rsidR="00B74F46" w:rsidRPr="00BC26FD" w:rsidRDefault="00B74F46" w:rsidP="00BC26FD">
          <w:pPr>
            <w:pStyle w:val="Sommario2"/>
            <w:spacing w:line="240" w:lineRule="auto"/>
            <w:ind w:left="284"/>
            <w:rPr>
              <w:rFonts w:asciiTheme="minorHAnsi" w:eastAsiaTheme="minorEastAsia" w:hAnsiTheme="minorHAnsi"/>
              <w:sz w:val="22"/>
              <w:szCs w:val="22"/>
              <w:lang w:eastAsia="it-IT"/>
            </w:rPr>
          </w:pPr>
          <w:hyperlink w:anchor="_Toc240375119" w:history="1">
            <w:r w:rsidRPr="00BC26FD">
              <w:rPr>
                <w:rStyle w:val="Collegamentoipertestuale"/>
                <w:sz w:val="18"/>
                <w:szCs w:val="18"/>
              </w:rPr>
              <w:t>Articolo 12 – Sanzioni amministrative</w:t>
            </w:r>
            <w:r w:rsidRPr="00BC26FD">
              <w:rPr>
                <w:webHidden/>
                <w:sz w:val="18"/>
                <w:szCs w:val="18"/>
              </w:rPr>
              <w:tab/>
            </w:r>
            <w:r w:rsidRPr="00BC26FD">
              <w:rPr>
                <w:webHidden/>
                <w:sz w:val="18"/>
                <w:szCs w:val="18"/>
              </w:rPr>
              <w:fldChar w:fldCharType="begin"/>
            </w:r>
            <w:r w:rsidRPr="00BC26FD">
              <w:rPr>
                <w:webHidden/>
                <w:sz w:val="18"/>
                <w:szCs w:val="18"/>
              </w:rPr>
              <w:instrText xml:space="preserve"> PAGEREF _Toc240375119 \h </w:instrText>
            </w:r>
            <w:r w:rsidRPr="00BC26FD">
              <w:rPr>
                <w:webHidden/>
                <w:sz w:val="18"/>
                <w:szCs w:val="18"/>
              </w:rPr>
            </w:r>
            <w:r w:rsidRPr="00BC26FD">
              <w:rPr>
                <w:webHidden/>
                <w:sz w:val="18"/>
                <w:szCs w:val="18"/>
              </w:rPr>
              <w:fldChar w:fldCharType="separate"/>
            </w:r>
            <w:r w:rsidR="005620E4">
              <w:rPr>
                <w:webHidden/>
                <w:sz w:val="18"/>
                <w:szCs w:val="18"/>
              </w:rPr>
              <w:t>9</w:t>
            </w:r>
            <w:r w:rsidRPr="00BC26FD">
              <w:rPr>
                <w:webHidden/>
                <w:sz w:val="18"/>
                <w:szCs w:val="18"/>
              </w:rPr>
              <w:fldChar w:fldCharType="end"/>
            </w:r>
          </w:hyperlink>
        </w:p>
        <w:p w14:paraId="39229199" w14:textId="51D2494D" w:rsidR="00B74F46" w:rsidRPr="00BC26FD" w:rsidRDefault="00B74F46" w:rsidP="00BC26FD">
          <w:pPr>
            <w:pStyle w:val="Sommario2"/>
            <w:spacing w:line="240" w:lineRule="auto"/>
            <w:rPr>
              <w:rFonts w:asciiTheme="minorHAnsi" w:eastAsiaTheme="minorEastAsia" w:hAnsiTheme="minorHAnsi"/>
              <w:sz w:val="22"/>
              <w:szCs w:val="22"/>
              <w:lang w:eastAsia="it-IT"/>
            </w:rPr>
          </w:pPr>
          <w:hyperlink w:anchor="_Toc240375120" w:history="1">
            <w:r w:rsidRPr="00BC26FD">
              <w:rPr>
                <w:rStyle w:val="Collegamentoipertestuale"/>
                <w:sz w:val="18"/>
                <w:szCs w:val="18"/>
              </w:rPr>
              <w:t>Tributi degli enti locali- Province e Città metropolitane</w:t>
            </w:r>
            <w:r w:rsidRPr="00BC26FD">
              <w:rPr>
                <w:webHidden/>
                <w:sz w:val="18"/>
                <w:szCs w:val="18"/>
              </w:rPr>
              <w:tab/>
            </w:r>
            <w:r w:rsidRPr="00BC26FD">
              <w:rPr>
                <w:webHidden/>
                <w:sz w:val="18"/>
                <w:szCs w:val="18"/>
              </w:rPr>
              <w:fldChar w:fldCharType="begin"/>
            </w:r>
            <w:r w:rsidRPr="00BC26FD">
              <w:rPr>
                <w:webHidden/>
                <w:sz w:val="18"/>
                <w:szCs w:val="18"/>
              </w:rPr>
              <w:instrText xml:space="preserve"> PAGEREF _Toc240375120 \h </w:instrText>
            </w:r>
            <w:r w:rsidRPr="00BC26FD">
              <w:rPr>
                <w:webHidden/>
                <w:sz w:val="18"/>
                <w:szCs w:val="18"/>
              </w:rPr>
            </w:r>
            <w:r w:rsidRPr="00BC26FD">
              <w:rPr>
                <w:webHidden/>
                <w:sz w:val="18"/>
                <w:szCs w:val="18"/>
              </w:rPr>
              <w:fldChar w:fldCharType="separate"/>
            </w:r>
            <w:r w:rsidR="005620E4">
              <w:rPr>
                <w:webHidden/>
                <w:sz w:val="18"/>
                <w:szCs w:val="18"/>
              </w:rPr>
              <w:t>11</w:t>
            </w:r>
            <w:r w:rsidRPr="00BC26FD">
              <w:rPr>
                <w:webHidden/>
                <w:sz w:val="18"/>
                <w:szCs w:val="18"/>
              </w:rPr>
              <w:fldChar w:fldCharType="end"/>
            </w:r>
          </w:hyperlink>
        </w:p>
        <w:p w14:paraId="7E387E75" w14:textId="07865C0E" w:rsidR="00B74F46" w:rsidRPr="00BC26FD" w:rsidRDefault="00B74F46" w:rsidP="00BC26FD">
          <w:pPr>
            <w:pStyle w:val="Sommario2"/>
            <w:spacing w:line="240" w:lineRule="auto"/>
            <w:ind w:left="284"/>
            <w:rPr>
              <w:rFonts w:asciiTheme="minorHAnsi" w:eastAsiaTheme="minorEastAsia" w:hAnsiTheme="minorHAnsi"/>
              <w:sz w:val="22"/>
              <w:szCs w:val="22"/>
              <w:lang w:eastAsia="it-IT"/>
            </w:rPr>
          </w:pPr>
          <w:hyperlink w:anchor="_Toc240375121" w:history="1">
            <w:r w:rsidRPr="00BC26FD">
              <w:rPr>
                <w:rStyle w:val="Collegamentoipertestuale"/>
                <w:sz w:val="18"/>
                <w:szCs w:val="18"/>
              </w:rPr>
              <w:t>Articolo 25 – Imposta provinciale di trascrizione</w:t>
            </w:r>
            <w:r w:rsidRPr="00BC26FD">
              <w:rPr>
                <w:webHidden/>
                <w:sz w:val="18"/>
                <w:szCs w:val="18"/>
              </w:rPr>
              <w:tab/>
            </w:r>
            <w:r w:rsidRPr="00BC26FD">
              <w:rPr>
                <w:webHidden/>
                <w:sz w:val="18"/>
                <w:szCs w:val="18"/>
              </w:rPr>
              <w:fldChar w:fldCharType="begin"/>
            </w:r>
            <w:r w:rsidRPr="00BC26FD">
              <w:rPr>
                <w:webHidden/>
                <w:sz w:val="18"/>
                <w:szCs w:val="18"/>
              </w:rPr>
              <w:instrText xml:space="preserve"> PAGEREF _Toc240375121 \h </w:instrText>
            </w:r>
            <w:r w:rsidRPr="00BC26FD">
              <w:rPr>
                <w:webHidden/>
                <w:sz w:val="18"/>
                <w:szCs w:val="18"/>
              </w:rPr>
            </w:r>
            <w:r w:rsidRPr="00BC26FD">
              <w:rPr>
                <w:webHidden/>
                <w:sz w:val="18"/>
                <w:szCs w:val="18"/>
              </w:rPr>
              <w:fldChar w:fldCharType="separate"/>
            </w:r>
            <w:r w:rsidR="005620E4">
              <w:rPr>
                <w:webHidden/>
                <w:sz w:val="18"/>
                <w:szCs w:val="18"/>
              </w:rPr>
              <w:t>11</w:t>
            </w:r>
            <w:r w:rsidRPr="00BC26FD">
              <w:rPr>
                <w:webHidden/>
                <w:sz w:val="18"/>
                <w:szCs w:val="18"/>
              </w:rPr>
              <w:fldChar w:fldCharType="end"/>
            </w:r>
          </w:hyperlink>
        </w:p>
        <w:p w14:paraId="58585393" w14:textId="065F5D7E" w:rsidR="00B74F46" w:rsidRPr="00BC26FD" w:rsidRDefault="00B74F46" w:rsidP="00BC26FD">
          <w:pPr>
            <w:pStyle w:val="Sommario2"/>
            <w:spacing w:line="240" w:lineRule="auto"/>
            <w:ind w:left="284"/>
            <w:rPr>
              <w:rFonts w:asciiTheme="minorHAnsi" w:eastAsiaTheme="minorEastAsia" w:hAnsiTheme="minorHAnsi"/>
              <w:sz w:val="22"/>
              <w:szCs w:val="22"/>
              <w:lang w:eastAsia="it-IT"/>
            </w:rPr>
          </w:pPr>
          <w:hyperlink w:anchor="_Toc240375122" w:history="1">
            <w:r w:rsidRPr="00BC26FD">
              <w:rPr>
                <w:rStyle w:val="Collegamentoipertestuale"/>
                <w:sz w:val="18"/>
                <w:szCs w:val="18"/>
              </w:rPr>
              <w:t xml:space="preserve">Articolo 36 – Compartecipazione IRPEF per </w:t>
            </w:r>
            <w:r w:rsidR="009E144F">
              <w:rPr>
                <w:rStyle w:val="Collegamentoipertestuale"/>
                <w:sz w:val="18"/>
                <w:szCs w:val="18"/>
              </w:rPr>
              <w:t>P</w:t>
            </w:r>
            <w:r w:rsidRPr="00BC26FD">
              <w:rPr>
                <w:rStyle w:val="Collegamentoipertestuale"/>
                <w:sz w:val="18"/>
                <w:szCs w:val="18"/>
              </w:rPr>
              <w:t xml:space="preserve">rovince e </w:t>
            </w:r>
            <w:r w:rsidR="009E144F">
              <w:rPr>
                <w:rStyle w:val="Collegamentoipertestuale"/>
                <w:sz w:val="18"/>
                <w:szCs w:val="18"/>
              </w:rPr>
              <w:t>C</w:t>
            </w:r>
            <w:r w:rsidR="009E144F" w:rsidRPr="00BC26FD">
              <w:rPr>
                <w:rStyle w:val="Collegamentoipertestuale"/>
                <w:sz w:val="18"/>
                <w:szCs w:val="18"/>
              </w:rPr>
              <w:t xml:space="preserve">ittà </w:t>
            </w:r>
            <w:r w:rsidRPr="00BC26FD">
              <w:rPr>
                <w:rStyle w:val="Collegamentoipertestuale"/>
                <w:sz w:val="18"/>
                <w:szCs w:val="18"/>
              </w:rPr>
              <w:t>metropolitane</w:t>
            </w:r>
            <w:r w:rsidRPr="00BC26FD">
              <w:rPr>
                <w:webHidden/>
                <w:sz w:val="18"/>
                <w:szCs w:val="18"/>
              </w:rPr>
              <w:tab/>
            </w:r>
            <w:r w:rsidRPr="00BC26FD">
              <w:rPr>
                <w:webHidden/>
                <w:sz w:val="18"/>
                <w:szCs w:val="18"/>
              </w:rPr>
              <w:fldChar w:fldCharType="begin"/>
            </w:r>
            <w:r w:rsidRPr="00BC26FD">
              <w:rPr>
                <w:webHidden/>
                <w:sz w:val="18"/>
                <w:szCs w:val="18"/>
              </w:rPr>
              <w:instrText xml:space="preserve"> PAGEREF _Toc240375122 \h </w:instrText>
            </w:r>
            <w:r w:rsidRPr="00BC26FD">
              <w:rPr>
                <w:webHidden/>
                <w:sz w:val="18"/>
                <w:szCs w:val="18"/>
              </w:rPr>
            </w:r>
            <w:r w:rsidRPr="00BC26FD">
              <w:rPr>
                <w:webHidden/>
                <w:sz w:val="18"/>
                <w:szCs w:val="18"/>
              </w:rPr>
              <w:fldChar w:fldCharType="separate"/>
            </w:r>
            <w:r w:rsidR="005620E4">
              <w:rPr>
                <w:webHidden/>
                <w:sz w:val="18"/>
                <w:szCs w:val="18"/>
              </w:rPr>
              <w:t>11</w:t>
            </w:r>
            <w:r w:rsidRPr="00BC26FD">
              <w:rPr>
                <w:webHidden/>
                <w:sz w:val="18"/>
                <w:szCs w:val="18"/>
              </w:rPr>
              <w:fldChar w:fldCharType="end"/>
            </w:r>
          </w:hyperlink>
        </w:p>
        <w:p w14:paraId="4F8B1F05" w14:textId="5DD2CBEC" w:rsidR="00B74F46" w:rsidRPr="00BC26FD" w:rsidRDefault="00B74F46" w:rsidP="00BC26FD">
          <w:pPr>
            <w:pStyle w:val="Sommario2"/>
            <w:spacing w:line="240" w:lineRule="auto"/>
            <w:rPr>
              <w:rFonts w:asciiTheme="minorHAnsi" w:eastAsiaTheme="minorEastAsia" w:hAnsiTheme="minorHAnsi"/>
              <w:sz w:val="22"/>
              <w:szCs w:val="22"/>
              <w:lang w:eastAsia="it-IT"/>
            </w:rPr>
          </w:pPr>
          <w:hyperlink w:anchor="_Toc240375123" w:history="1">
            <w:r w:rsidRPr="00BC26FD">
              <w:rPr>
                <w:rStyle w:val="Collegamentoipertestuale"/>
                <w:sz w:val="18"/>
                <w:szCs w:val="18"/>
              </w:rPr>
              <w:t>Tributi degli enti locali - Comuni</w:t>
            </w:r>
            <w:r w:rsidRPr="00BC26FD">
              <w:rPr>
                <w:webHidden/>
                <w:sz w:val="18"/>
                <w:szCs w:val="18"/>
              </w:rPr>
              <w:tab/>
            </w:r>
            <w:r w:rsidRPr="00BC26FD">
              <w:rPr>
                <w:webHidden/>
                <w:sz w:val="18"/>
                <w:szCs w:val="18"/>
              </w:rPr>
              <w:fldChar w:fldCharType="begin"/>
            </w:r>
            <w:r w:rsidRPr="00BC26FD">
              <w:rPr>
                <w:webHidden/>
                <w:sz w:val="18"/>
                <w:szCs w:val="18"/>
              </w:rPr>
              <w:instrText xml:space="preserve"> PAGEREF _Toc240375123 \h </w:instrText>
            </w:r>
            <w:r w:rsidRPr="00BC26FD">
              <w:rPr>
                <w:webHidden/>
                <w:sz w:val="18"/>
                <w:szCs w:val="18"/>
              </w:rPr>
            </w:r>
            <w:r w:rsidRPr="00BC26FD">
              <w:rPr>
                <w:webHidden/>
                <w:sz w:val="18"/>
                <w:szCs w:val="18"/>
              </w:rPr>
              <w:fldChar w:fldCharType="separate"/>
            </w:r>
            <w:r w:rsidR="005620E4">
              <w:rPr>
                <w:webHidden/>
                <w:sz w:val="18"/>
                <w:szCs w:val="18"/>
              </w:rPr>
              <w:t>12</w:t>
            </w:r>
            <w:r w:rsidRPr="00BC26FD">
              <w:rPr>
                <w:webHidden/>
                <w:sz w:val="18"/>
                <w:szCs w:val="18"/>
              </w:rPr>
              <w:fldChar w:fldCharType="end"/>
            </w:r>
          </w:hyperlink>
        </w:p>
        <w:p w14:paraId="2731DCE2" w14:textId="66EE6C02" w:rsidR="00B74F46" w:rsidRPr="00BC26FD" w:rsidRDefault="00B74F46" w:rsidP="00BC26FD">
          <w:pPr>
            <w:pStyle w:val="Sommario2"/>
            <w:spacing w:line="240" w:lineRule="auto"/>
            <w:ind w:left="284"/>
            <w:rPr>
              <w:rFonts w:asciiTheme="minorHAnsi" w:eastAsiaTheme="minorEastAsia" w:hAnsiTheme="minorHAnsi"/>
              <w:sz w:val="22"/>
              <w:szCs w:val="22"/>
              <w:lang w:eastAsia="it-IT"/>
            </w:rPr>
          </w:pPr>
          <w:hyperlink w:anchor="_Toc240375124" w:history="1">
            <w:r w:rsidRPr="00BC26FD">
              <w:rPr>
                <w:rStyle w:val="Collegamentoipertestuale"/>
                <w:sz w:val="18"/>
                <w:szCs w:val="18"/>
              </w:rPr>
              <w:t>Articolo 11 – Partecipazione comunale al recupero dei tributi erariali</w:t>
            </w:r>
            <w:r w:rsidRPr="00BC26FD">
              <w:rPr>
                <w:webHidden/>
                <w:sz w:val="18"/>
                <w:szCs w:val="18"/>
              </w:rPr>
              <w:tab/>
            </w:r>
            <w:r w:rsidRPr="00BC26FD">
              <w:rPr>
                <w:webHidden/>
                <w:sz w:val="18"/>
                <w:szCs w:val="18"/>
              </w:rPr>
              <w:fldChar w:fldCharType="begin"/>
            </w:r>
            <w:r w:rsidRPr="00BC26FD">
              <w:rPr>
                <w:webHidden/>
                <w:sz w:val="18"/>
                <w:szCs w:val="18"/>
              </w:rPr>
              <w:instrText xml:space="preserve"> PAGEREF _Toc240375124 \h </w:instrText>
            </w:r>
            <w:r w:rsidRPr="00BC26FD">
              <w:rPr>
                <w:webHidden/>
                <w:sz w:val="18"/>
                <w:szCs w:val="18"/>
              </w:rPr>
            </w:r>
            <w:r w:rsidRPr="00BC26FD">
              <w:rPr>
                <w:webHidden/>
                <w:sz w:val="18"/>
                <w:szCs w:val="18"/>
              </w:rPr>
              <w:fldChar w:fldCharType="separate"/>
            </w:r>
            <w:r w:rsidR="005620E4">
              <w:rPr>
                <w:webHidden/>
                <w:sz w:val="18"/>
                <w:szCs w:val="18"/>
              </w:rPr>
              <w:t>12</w:t>
            </w:r>
            <w:r w:rsidRPr="00BC26FD">
              <w:rPr>
                <w:webHidden/>
                <w:sz w:val="18"/>
                <w:szCs w:val="18"/>
              </w:rPr>
              <w:fldChar w:fldCharType="end"/>
            </w:r>
          </w:hyperlink>
        </w:p>
        <w:p w14:paraId="3EF38A51" w14:textId="62EBFD8A" w:rsidR="00B74F46" w:rsidRPr="00BC26FD" w:rsidRDefault="00B74F46" w:rsidP="00BC26FD">
          <w:pPr>
            <w:pStyle w:val="Sommario2"/>
            <w:spacing w:line="240" w:lineRule="auto"/>
            <w:ind w:left="284"/>
            <w:rPr>
              <w:rFonts w:asciiTheme="minorHAnsi" w:eastAsiaTheme="minorEastAsia" w:hAnsiTheme="minorHAnsi"/>
              <w:sz w:val="22"/>
              <w:szCs w:val="22"/>
              <w:lang w:eastAsia="it-IT"/>
            </w:rPr>
          </w:pPr>
          <w:hyperlink w:anchor="_Toc240375125" w:history="1">
            <w:r w:rsidRPr="00BC26FD">
              <w:rPr>
                <w:rStyle w:val="Collegamentoipertestuale"/>
                <w:sz w:val="18"/>
                <w:szCs w:val="18"/>
              </w:rPr>
              <w:t>Articolo 26 – Semplificazione della dichiarazione IMU</w:t>
            </w:r>
            <w:r w:rsidRPr="00BC26FD">
              <w:rPr>
                <w:webHidden/>
                <w:sz w:val="18"/>
                <w:szCs w:val="18"/>
              </w:rPr>
              <w:tab/>
            </w:r>
            <w:r w:rsidRPr="00BC26FD">
              <w:rPr>
                <w:webHidden/>
                <w:sz w:val="18"/>
                <w:szCs w:val="18"/>
              </w:rPr>
              <w:fldChar w:fldCharType="begin"/>
            </w:r>
            <w:r w:rsidRPr="00BC26FD">
              <w:rPr>
                <w:webHidden/>
                <w:sz w:val="18"/>
                <w:szCs w:val="18"/>
              </w:rPr>
              <w:instrText xml:space="preserve"> PAGEREF _Toc240375125 \h </w:instrText>
            </w:r>
            <w:r w:rsidRPr="00BC26FD">
              <w:rPr>
                <w:webHidden/>
                <w:sz w:val="18"/>
                <w:szCs w:val="18"/>
              </w:rPr>
            </w:r>
            <w:r w:rsidRPr="00BC26FD">
              <w:rPr>
                <w:webHidden/>
                <w:sz w:val="18"/>
                <w:szCs w:val="18"/>
              </w:rPr>
              <w:fldChar w:fldCharType="separate"/>
            </w:r>
            <w:r w:rsidR="005620E4">
              <w:rPr>
                <w:webHidden/>
                <w:sz w:val="18"/>
                <w:szCs w:val="18"/>
              </w:rPr>
              <w:t>12</w:t>
            </w:r>
            <w:r w:rsidRPr="00BC26FD">
              <w:rPr>
                <w:webHidden/>
                <w:sz w:val="18"/>
                <w:szCs w:val="18"/>
              </w:rPr>
              <w:fldChar w:fldCharType="end"/>
            </w:r>
          </w:hyperlink>
        </w:p>
        <w:p w14:paraId="200E1274" w14:textId="126A85F4" w:rsidR="00B74F46" w:rsidRPr="00BC26FD" w:rsidRDefault="00B74F46" w:rsidP="00BC26FD">
          <w:pPr>
            <w:pStyle w:val="Sommario2"/>
            <w:spacing w:line="240" w:lineRule="auto"/>
            <w:ind w:left="284"/>
            <w:rPr>
              <w:rFonts w:asciiTheme="minorHAnsi" w:eastAsiaTheme="minorEastAsia" w:hAnsiTheme="minorHAnsi"/>
              <w:sz w:val="22"/>
              <w:szCs w:val="22"/>
              <w:lang w:eastAsia="it-IT"/>
            </w:rPr>
          </w:pPr>
          <w:hyperlink w:anchor="_Toc240375126" w:history="1">
            <w:r w:rsidRPr="00BC26FD">
              <w:rPr>
                <w:rStyle w:val="Collegamentoipertestuale"/>
                <w:sz w:val="18"/>
                <w:szCs w:val="18"/>
              </w:rPr>
              <w:t>Articolo 27 – Imposta immobiliare sulle piattaforme marine</w:t>
            </w:r>
            <w:r w:rsidRPr="00BC26FD">
              <w:rPr>
                <w:webHidden/>
                <w:sz w:val="18"/>
                <w:szCs w:val="18"/>
              </w:rPr>
              <w:tab/>
            </w:r>
            <w:r w:rsidRPr="00BC26FD">
              <w:rPr>
                <w:webHidden/>
                <w:sz w:val="18"/>
                <w:szCs w:val="18"/>
              </w:rPr>
              <w:fldChar w:fldCharType="begin"/>
            </w:r>
            <w:r w:rsidRPr="00BC26FD">
              <w:rPr>
                <w:webHidden/>
                <w:sz w:val="18"/>
                <w:szCs w:val="18"/>
              </w:rPr>
              <w:instrText xml:space="preserve"> PAGEREF _Toc240375126 \h </w:instrText>
            </w:r>
            <w:r w:rsidRPr="00BC26FD">
              <w:rPr>
                <w:webHidden/>
                <w:sz w:val="18"/>
                <w:szCs w:val="18"/>
              </w:rPr>
            </w:r>
            <w:r w:rsidRPr="00BC26FD">
              <w:rPr>
                <w:webHidden/>
                <w:sz w:val="18"/>
                <w:szCs w:val="18"/>
              </w:rPr>
              <w:fldChar w:fldCharType="separate"/>
            </w:r>
            <w:r w:rsidR="005620E4">
              <w:rPr>
                <w:webHidden/>
                <w:sz w:val="18"/>
                <w:szCs w:val="18"/>
              </w:rPr>
              <w:t>13</w:t>
            </w:r>
            <w:r w:rsidRPr="00BC26FD">
              <w:rPr>
                <w:webHidden/>
                <w:sz w:val="18"/>
                <w:szCs w:val="18"/>
              </w:rPr>
              <w:fldChar w:fldCharType="end"/>
            </w:r>
          </w:hyperlink>
        </w:p>
        <w:p w14:paraId="56E6BB7D" w14:textId="1BA1ADEC" w:rsidR="00B74F46" w:rsidRPr="00BC26FD" w:rsidRDefault="00B74F46" w:rsidP="00BC26FD">
          <w:pPr>
            <w:pStyle w:val="Sommario2"/>
            <w:spacing w:line="240" w:lineRule="auto"/>
            <w:ind w:left="284"/>
            <w:rPr>
              <w:rFonts w:asciiTheme="minorHAnsi" w:eastAsiaTheme="minorEastAsia" w:hAnsiTheme="minorHAnsi"/>
              <w:sz w:val="22"/>
              <w:szCs w:val="22"/>
              <w:lang w:eastAsia="it-IT"/>
            </w:rPr>
          </w:pPr>
          <w:hyperlink w:anchor="_Toc240375127" w:history="1">
            <w:r w:rsidRPr="00BC26FD">
              <w:rPr>
                <w:rStyle w:val="Collegamentoipertestuale"/>
                <w:sz w:val="18"/>
                <w:szCs w:val="18"/>
              </w:rPr>
              <w:t>Articolo 28 – Modifiche in materia di TARI</w:t>
            </w:r>
            <w:r w:rsidRPr="00BC26FD">
              <w:rPr>
                <w:webHidden/>
                <w:sz w:val="18"/>
                <w:szCs w:val="18"/>
              </w:rPr>
              <w:tab/>
            </w:r>
            <w:r w:rsidRPr="00BC26FD">
              <w:rPr>
                <w:webHidden/>
                <w:sz w:val="18"/>
                <w:szCs w:val="18"/>
              </w:rPr>
              <w:fldChar w:fldCharType="begin"/>
            </w:r>
            <w:r w:rsidRPr="00BC26FD">
              <w:rPr>
                <w:webHidden/>
                <w:sz w:val="18"/>
                <w:szCs w:val="18"/>
              </w:rPr>
              <w:instrText xml:space="preserve"> PAGEREF _Toc240375127 \h </w:instrText>
            </w:r>
            <w:r w:rsidRPr="00BC26FD">
              <w:rPr>
                <w:webHidden/>
                <w:sz w:val="18"/>
                <w:szCs w:val="18"/>
              </w:rPr>
            </w:r>
            <w:r w:rsidRPr="00BC26FD">
              <w:rPr>
                <w:webHidden/>
                <w:sz w:val="18"/>
                <w:szCs w:val="18"/>
              </w:rPr>
              <w:fldChar w:fldCharType="separate"/>
            </w:r>
            <w:r w:rsidR="005620E4">
              <w:rPr>
                <w:webHidden/>
                <w:sz w:val="18"/>
                <w:szCs w:val="18"/>
              </w:rPr>
              <w:t>13</w:t>
            </w:r>
            <w:r w:rsidRPr="00BC26FD">
              <w:rPr>
                <w:webHidden/>
                <w:sz w:val="18"/>
                <w:szCs w:val="18"/>
              </w:rPr>
              <w:fldChar w:fldCharType="end"/>
            </w:r>
          </w:hyperlink>
        </w:p>
        <w:p w14:paraId="6CB391F5" w14:textId="2499E6C4" w:rsidR="00B74F46" w:rsidRPr="00BC26FD" w:rsidRDefault="00B74F46" w:rsidP="00BC26FD">
          <w:pPr>
            <w:pStyle w:val="Sommario2"/>
            <w:spacing w:line="240" w:lineRule="auto"/>
            <w:ind w:left="284"/>
            <w:rPr>
              <w:rFonts w:asciiTheme="minorHAnsi" w:eastAsiaTheme="minorEastAsia" w:hAnsiTheme="minorHAnsi"/>
              <w:sz w:val="22"/>
              <w:szCs w:val="22"/>
              <w:lang w:eastAsia="it-IT"/>
            </w:rPr>
          </w:pPr>
          <w:hyperlink w:anchor="_Toc240375128" w:history="1">
            <w:r w:rsidRPr="00BC26FD">
              <w:rPr>
                <w:rStyle w:val="Collegamentoipertestuale"/>
                <w:sz w:val="18"/>
                <w:szCs w:val="18"/>
              </w:rPr>
              <w:t>Articolo 29 – Modifica dell’articolo 238 del Codice dell’ambiente</w:t>
            </w:r>
            <w:r w:rsidRPr="00BC26FD">
              <w:rPr>
                <w:webHidden/>
                <w:sz w:val="18"/>
                <w:szCs w:val="18"/>
              </w:rPr>
              <w:tab/>
            </w:r>
            <w:r w:rsidRPr="00BC26FD">
              <w:rPr>
                <w:webHidden/>
                <w:sz w:val="18"/>
                <w:szCs w:val="18"/>
              </w:rPr>
              <w:fldChar w:fldCharType="begin"/>
            </w:r>
            <w:r w:rsidRPr="00BC26FD">
              <w:rPr>
                <w:webHidden/>
                <w:sz w:val="18"/>
                <w:szCs w:val="18"/>
              </w:rPr>
              <w:instrText xml:space="preserve"> PAGEREF _Toc240375128 \h </w:instrText>
            </w:r>
            <w:r w:rsidRPr="00BC26FD">
              <w:rPr>
                <w:webHidden/>
                <w:sz w:val="18"/>
                <w:szCs w:val="18"/>
              </w:rPr>
            </w:r>
            <w:r w:rsidRPr="00BC26FD">
              <w:rPr>
                <w:webHidden/>
                <w:sz w:val="18"/>
                <w:szCs w:val="18"/>
              </w:rPr>
              <w:fldChar w:fldCharType="separate"/>
            </w:r>
            <w:r w:rsidR="005620E4">
              <w:rPr>
                <w:webHidden/>
                <w:sz w:val="18"/>
                <w:szCs w:val="18"/>
              </w:rPr>
              <w:t>14</w:t>
            </w:r>
            <w:r w:rsidRPr="00BC26FD">
              <w:rPr>
                <w:webHidden/>
                <w:sz w:val="18"/>
                <w:szCs w:val="18"/>
              </w:rPr>
              <w:fldChar w:fldCharType="end"/>
            </w:r>
          </w:hyperlink>
        </w:p>
        <w:p w14:paraId="3FF36541" w14:textId="3F36B13D" w:rsidR="00B74F46" w:rsidRPr="00BC26FD" w:rsidRDefault="00B74F46" w:rsidP="00BC26FD">
          <w:pPr>
            <w:pStyle w:val="Sommario2"/>
            <w:spacing w:line="240" w:lineRule="auto"/>
            <w:ind w:left="284"/>
            <w:rPr>
              <w:rFonts w:asciiTheme="minorHAnsi" w:eastAsiaTheme="minorEastAsia" w:hAnsiTheme="minorHAnsi"/>
              <w:sz w:val="22"/>
              <w:szCs w:val="22"/>
              <w:lang w:eastAsia="it-IT"/>
            </w:rPr>
          </w:pPr>
          <w:hyperlink w:anchor="_Toc240375129" w:history="1">
            <w:r w:rsidRPr="00BC26FD">
              <w:rPr>
                <w:rStyle w:val="Collegamentoipertestuale"/>
                <w:sz w:val="18"/>
                <w:szCs w:val="18"/>
              </w:rPr>
              <w:t>Articolo 30 – Efficacia delle delibere sul canone unico</w:t>
            </w:r>
            <w:r w:rsidRPr="00BC26FD">
              <w:rPr>
                <w:webHidden/>
                <w:sz w:val="18"/>
                <w:szCs w:val="18"/>
              </w:rPr>
              <w:tab/>
            </w:r>
            <w:r w:rsidRPr="00BC26FD">
              <w:rPr>
                <w:webHidden/>
                <w:sz w:val="18"/>
                <w:szCs w:val="18"/>
              </w:rPr>
              <w:fldChar w:fldCharType="begin"/>
            </w:r>
            <w:r w:rsidRPr="00BC26FD">
              <w:rPr>
                <w:webHidden/>
                <w:sz w:val="18"/>
                <w:szCs w:val="18"/>
              </w:rPr>
              <w:instrText xml:space="preserve"> PAGEREF _Toc240375129 \h </w:instrText>
            </w:r>
            <w:r w:rsidRPr="00BC26FD">
              <w:rPr>
                <w:webHidden/>
                <w:sz w:val="18"/>
                <w:szCs w:val="18"/>
              </w:rPr>
            </w:r>
            <w:r w:rsidRPr="00BC26FD">
              <w:rPr>
                <w:webHidden/>
                <w:sz w:val="18"/>
                <w:szCs w:val="18"/>
              </w:rPr>
              <w:fldChar w:fldCharType="separate"/>
            </w:r>
            <w:r w:rsidR="005620E4">
              <w:rPr>
                <w:webHidden/>
                <w:sz w:val="18"/>
                <w:szCs w:val="18"/>
              </w:rPr>
              <w:t>14</w:t>
            </w:r>
            <w:r w:rsidRPr="00BC26FD">
              <w:rPr>
                <w:webHidden/>
                <w:sz w:val="18"/>
                <w:szCs w:val="18"/>
              </w:rPr>
              <w:fldChar w:fldCharType="end"/>
            </w:r>
          </w:hyperlink>
        </w:p>
        <w:p w14:paraId="77805530" w14:textId="303A484E" w:rsidR="00B74F46" w:rsidRPr="00BC26FD" w:rsidRDefault="00B74F46" w:rsidP="00BC26FD">
          <w:pPr>
            <w:pStyle w:val="Sommario2"/>
            <w:spacing w:line="240" w:lineRule="auto"/>
            <w:ind w:left="284"/>
            <w:rPr>
              <w:rFonts w:asciiTheme="minorHAnsi" w:eastAsiaTheme="minorEastAsia" w:hAnsiTheme="minorHAnsi"/>
              <w:sz w:val="22"/>
              <w:szCs w:val="22"/>
              <w:lang w:eastAsia="it-IT"/>
            </w:rPr>
          </w:pPr>
          <w:hyperlink w:anchor="_Toc240375130" w:history="1">
            <w:r w:rsidRPr="00BC26FD">
              <w:rPr>
                <w:rStyle w:val="Collegamentoipertestuale"/>
                <w:sz w:val="18"/>
                <w:szCs w:val="18"/>
              </w:rPr>
              <w:t>Articolo 31 – Esclusione di balconi, verande e infissi stabili dal canone unico</w:t>
            </w:r>
            <w:r w:rsidRPr="00BC26FD">
              <w:rPr>
                <w:webHidden/>
                <w:sz w:val="18"/>
                <w:szCs w:val="18"/>
              </w:rPr>
              <w:tab/>
            </w:r>
            <w:r w:rsidRPr="00BC26FD">
              <w:rPr>
                <w:webHidden/>
                <w:sz w:val="18"/>
                <w:szCs w:val="18"/>
              </w:rPr>
              <w:fldChar w:fldCharType="begin"/>
            </w:r>
            <w:r w:rsidRPr="00BC26FD">
              <w:rPr>
                <w:webHidden/>
                <w:sz w:val="18"/>
                <w:szCs w:val="18"/>
              </w:rPr>
              <w:instrText xml:space="preserve"> PAGEREF _Toc240375130 \h </w:instrText>
            </w:r>
            <w:r w:rsidRPr="00BC26FD">
              <w:rPr>
                <w:webHidden/>
                <w:sz w:val="18"/>
                <w:szCs w:val="18"/>
              </w:rPr>
            </w:r>
            <w:r w:rsidRPr="00BC26FD">
              <w:rPr>
                <w:webHidden/>
                <w:sz w:val="18"/>
                <w:szCs w:val="18"/>
              </w:rPr>
              <w:fldChar w:fldCharType="separate"/>
            </w:r>
            <w:r w:rsidR="005620E4">
              <w:rPr>
                <w:webHidden/>
                <w:sz w:val="18"/>
                <w:szCs w:val="18"/>
              </w:rPr>
              <w:t>15</w:t>
            </w:r>
            <w:r w:rsidRPr="00BC26FD">
              <w:rPr>
                <w:webHidden/>
                <w:sz w:val="18"/>
                <w:szCs w:val="18"/>
              </w:rPr>
              <w:fldChar w:fldCharType="end"/>
            </w:r>
          </w:hyperlink>
        </w:p>
        <w:p w14:paraId="115105D5" w14:textId="46F49554" w:rsidR="00B74F46" w:rsidRPr="00BC26FD" w:rsidRDefault="00B74F46" w:rsidP="00BC26FD">
          <w:pPr>
            <w:pStyle w:val="Sommario2"/>
            <w:spacing w:line="240" w:lineRule="auto"/>
            <w:ind w:left="284"/>
            <w:rPr>
              <w:rFonts w:asciiTheme="minorHAnsi" w:eastAsiaTheme="minorEastAsia" w:hAnsiTheme="minorHAnsi"/>
              <w:sz w:val="22"/>
              <w:szCs w:val="22"/>
              <w:lang w:eastAsia="it-IT"/>
            </w:rPr>
          </w:pPr>
          <w:hyperlink w:anchor="_Toc240375131" w:history="1">
            <w:r w:rsidRPr="00BC26FD">
              <w:rPr>
                <w:rStyle w:val="Collegamentoipertestuale"/>
                <w:sz w:val="18"/>
                <w:szCs w:val="18"/>
              </w:rPr>
              <w:t>Articolo 32 – IMU su fabbricati con rendita impugnata</w:t>
            </w:r>
            <w:r w:rsidRPr="00BC26FD">
              <w:rPr>
                <w:webHidden/>
                <w:sz w:val="18"/>
                <w:szCs w:val="18"/>
              </w:rPr>
              <w:tab/>
            </w:r>
            <w:r w:rsidRPr="00BC26FD">
              <w:rPr>
                <w:webHidden/>
                <w:sz w:val="18"/>
                <w:szCs w:val="18"/>
              </w:rPr>
              <w:fldChar w:fldCharType="begin"/>
            </w:r>
            <w:r w:rsidRPr="00BC26FD">
              <w:rPr>
                <w:webHidden/>
                <w:sz w:val="18"/>
                <w:szCs w:val="18"/>
              </w:rPr>
              <w:instrText xml:space="preserve"> PAGEREF _Toc240375131 \h </w:instrText>
            </w:r>
            <w:r w:rsidRPr="00BC26FD">
              <w:rPr>
                <w:webHidden/>
                <w:sz w:val="18"/>
                <w:szCs w:val="18"/>
              </w:rPr>
            </w:r>
            <w:r w:rsidRPr="00BC26FD">
              <w:rPr>
                <w:webHidden/>
                <w:sz w:val="18"/>
                <w:szCs w:val="18"/>
              </w:rPr>
              <w:fldChar w:fldCharType="separate"/>
            </w:r>
            <w:r w:rsidR="005620E4">
              <w:rPr>
                <w:webHidden/>
                <w:sz w:val="18"/>
                <w:szCs w:val="18"/>
              </w:rPr>
              <w:t>15</w:t>
            </w:r>
            <w:r w:rsidRPr="00BC26FD">
              <w:rPr>
                <w:webHidden/>
                <w:sz w:val="18"/>
                <w:szCs w:val="18"/>
              </w:rPr>
              <w:fldChar w:fldCharType="end"/>
            </w:r>
          </w:hyperlink>
        </w:p>
        <w:p w14:paraId="6C59655D" w14:textId="30118BD0" w:rsidR="00B74F46" w:rsidRPr="00BC26FD" w:rsidRDefault="00B74F46" w:rsidP="00BC26FD">
          <w:pPr>
            <w:pStyle w:val="Sommario2"/>
            <w:spacing w:line="240" w:lineRule="auto"/>
            <w:ind w:left="284"/>
            <w:rPr>
              <w:rFonts w:asciiTheme="minorHAnsi" w:eastAsiaTheme="minorEastAsia" w:hAnsiTheme="minorHAnsi"/>
              <w:sz w:val="22"/>
              <w:szCs w:val="22"/>
              <w:lang w:eastAsia="it-IT"/>
            </w:rPr>
          </w:pPr>
          <w:hyperlink w:anchor="_Toc240375132" w:history="1">
            <w:r w:rsidRPr="00BC26FD">
              <w:rPr>
                <w:rStyle w:val="Collegamentoipertestuale"/>
                <w:sz w:val="18"/>
                <w:szCs w:val="18"/>
              </w:rPr>
              <w:t>Articolo 35 – Tavolo tecnico sulla fiscalizzazione dei trasferimenti comunali</w:t>
            </w:r>
            <w:r w:rsidRPr="00BC26FD">
              <w:rPr>
                <w:webHidden/>
                <w:sz w:val="18"/>
                <w:szCs w:val="18"/>
              </w:rPr>
              <w:tab/>
            </w:r>
            <w:r w:rsidRPr="00BC26FD">
              <w:rPr>
                <w:webHidden/>
                <w:sz w:val="18"/>
                <w:szCs w:val="18"/>
              </w:rPr>
              <w:fldChar w:fldCharType="begin"/>
            </w:r>
            <w:r w:rsidRPr="00BC26FD">
              <w:rPr>
                <w:webHidden/>
                <w:sz w:val="18"/>
                <w:szCs w:val="18"/>
              </w:rPr>
              <w:instrText xml:space="preserve"> PAGEREF _Toc240375132 \h </w:instrText>
            </w:r>
            <w:r w:rsidRPr="00BC26FD">
              <w:rPr>
                <w:webHidden/>
                <w:sz w:val="18"/>
                <w:szCs w:val="18"/>
              </w:rPr>
            </w:r>
            <w:r w:rsidRPr="00BC26FD">
              <w:rPr>
                <w:webHidden/>
                <w:sz w:val="18"/>
                <w:szCs w:val="18"/>
              </w:rPr>
              <w:fldChar w:fldCharType="separate"/>
            </w:r>
            <w:r w:rsidR="005620E4">
              <w:rPr>
                <w:webHidden/>
                <w:sz w:val="18"/>
                <w:szCs w:val="18"/>
              </w:rPr>
              <w:t>17</w:t>
            </w:r>
            <w:r w:rsidRPr="00BC26FD">
              <w:rPr>
                <w:webHidden/>
                <w:sz w:val="18"/>
                <w:szCs w:val="18"/>
              </w:rPr>
              <w:fldChar w:fldCharType="end"/>
            </w:r>
          </w:hyperlink>
        </w:p>
        <w:p w14:paraId="3C928856" w14:textId="2C2D6B4D" w:rsidR="00B74F46" w:rsidRPr="00BC26FD" w:rsidRDefault="00B74F46" w:rsidP="00BC26FD">
          <w:pPr>
            <w:pStyle w:val="Sommario2"/>
            <w:spacing w:line="240" w:lineRule="auto"/>
            <w:rPr>
              <w:rFonts w:asciiTheme="minorHAnsi" w:eastAsiaTheme="minorEastAsia" w:hAnsiTheme="minorHAnsi"/>
              <w:sz w:val="22"/>
              <w:szCs w:val="22"/>
              <w:lang w:eastAsia="it-IT"/>
            </w:rPr>
          </w:pPr>
          <w:hyperlink w:anchor="_Toc240375133" w:history="1">
            <w:r w:rsidRPr="00BC26FD">
              <w:rPr>
                <w:rStyle w:val="Collegamentoipertestuale"/>
                <w:sz w:val="18"/>
                <w:szCs w:val="18"/>
              </w:rPr>
              <w:t>Fiscalizzazione trasferimenti alle Regioni</w:t>
            </w:r>
            <w:r w:rsidRPr="00BC26FD">
              <w:rPr>
                <w:webHidden/>
                <w:sz w:val="18"/>
                <w:szCs w:val="18"/>
              </w:rPr>
              <w:tab/>
            </w:r>
            <w:r w:rsidRPr="00BC26FD">
              <w:rPr>
                <w:webHidden/>
                <w:sz w:val="18"/>
                <w:szCs w:val="18"/>
              </w:rPr>
              <w:fldChar w:fldCharType="begin"/>
            </w:r>
            <w:r w:rsidRPr="00BC26FD">
              <w:rPr>
                <w:webHidden/>
                <w:sz w:val="18"/>
                <w:szCs w:val="18"/>
              </w:rPr>
              <w:instrText xml:space="preserve"> PAGEREF _Toc240375133 \h </w:instrText>
            </w:r>
            <w:r w:rsidRPr="00BC26FD">
              <w:rPr>
                <w:webHidden/>
                <w:sz w:val="18"/>
                <w:szCs w:val="18"/>
              </w:rPr>
            </w:r>
            <w:r w:rsidRPr="00BC26FD">
              <w:rPr>
                <w:webHidden/>
                <w:sz w:val="18"/>
                <w:szCs w:val="18"/>
              </w:rPr>
              <w:fldChar w:fldCharType="separate"/>
            </w:r>
            <w:r w:rsidR="005620E4">
              <w:rPr>
                <w:webHidden/>
                <w:sz w:val="18"/>
                <w:szCs w:val="18"/>
              </w:rPr>
              <w:t>17</w:t>
            </w:r>
            <w:r w:rsidRPr="00BC26FD">
              <w:rPr>
                <w:webHidden/>
                <w:sz w:val="18"/>
                <w:szCs w:val="18"/>
              </w:rPr>
              <w:fldChar w:fldCharType="end"/>
            </w:r>
          </w:hyperlink>
        </w:p>
        <w:p w14:paraId="5C852647" w14:textId="657A4069" w:rsidR="00B74F46" w:rsidRPr="00BC26FD" w:rsidRDefault="00B74F46" w:rsidP="00BC26FD">
          <w:pPr>
            <w:pStyle w:val="Sommario2"/>
            <w:spacing w:line="240" w:lineRule="auto"/>
            <w:ind w:left="284"/>
            <w:rPr>
              <w:rFonts w:asciiTheme="minorHAnsi" w:eastAsiaTheme="minorEastAsia" w:hAnsiTheme="minorHAnsi"/>
              <w:sz w:val="22"/>
              <w:szCs w:val="22"/>
              <w:lang w:eastAsia="it-IT"/>
            </w:rPr>
          </w:pPr>
          <w:hyperlink w:anchor="_Toc240375134" w:history="1">
            <w:r w:rsidRPr="00BC26FD">
              <w:rPr>
                <w:rStyle w:val="Collegamentoipertestuale"/>
                <w:sz w:val="18"/>
                <w:szCs w:val="18"/>
              </w:rPr>
              <w:t>Articolo 33 – Fiscalizzazione e perequazione regionale</w:t>
            </w:r>
            <w:r w:rsidRPr="00BC26FD">
              <w:rPr>
                <w:webHidden/>
                <w:sz w:val="18"/>
                <w:szCs w:val="18"/>
              </w:rPr>
              <w:tab/>
            </w:r>
            <w:r w:rsidRPr="00BC26FD">
              <w:rPr>
                <w:webHidden/>
                <w:sz w:val="18"/>
                <w:szCs w:val="18"/>
              </w:rPr>
              <w:fldChar w:fldCharType="begin"/>
            </w:r>
            <w:r w:rsidRPr="00BC26FD">
              <w:rPr>
                <w:webHidden/>
                <w:sz w:val="18"/>
                <w:szCs w:val="18"/>
              </w:rPr>
              <w:instrText xml:space="preserve"> PAGEREF _Toc240375134 \h </w:instrText>
            </w:r>
            <w:r w:rsidRPr="00BC26FD">
              <w:rPr>
                <w:webHidden/>
                <w:sz w:val="18"/>
                <w:szCs w:val="18"/>
              </w:rPr>
            </w:r>
            <w:r w:rsidRPr="00BC26FD">
              <w:rPr>
                <w:webHidden/>
                <w:sz w:val="18"/>
                <w:szCs w:val="18"/>
              </w:rPr>
              <w:fldChar w:fldCharType="separate"/>
            </w:r>
            <w:r w:rsidR="005620E4">
              <w:rPr>
                <w:webHidden/>
                <w:sz w:val="18"/>
                <w:szCs w:val="18"/>
              </w:rPr>
              <w:t>17</w:t>
            </w:r>
            <w:r w:rsidRPr="00BC26FD">
              <w:rPr>
                <w:webHidden/>
                <w:sz w:val="18"/>
                <w:szCs w:val="18"/>
              </w:rPr>
              <w:fldChar w:fldCharType="end"/>
            </w:r>
          </w:hyperlink>
        </w:p>
        <w:p w14:paraId="7B1A663A" w14:textId="1E05FB60" w:rsidR="00B74F46" w:rsidRPr="00BC26FD" w:rsidRDefault="00B74F46" w:rsidP="00BC26FD">
          <w:pPr>
            <w:pStyle w:val="Sommario2"/>
            <w:spacing w:line="240" w:lineRule="auto"/>
            <w:ind w:left="284"/>
            <w:rPr>
              <w:rFonts w:asciiTheme="minorHAnsi" w:eastAsiaTheme="minorEastAsia" w:hAnsiTheme="minorHAnsi"/>
              <w:sz w:val="22"/>
              <w:szCs w:val="22"/>
              <w:lang w:eastAsia="it-IT"/>
            </w:rPr>
          </w:pPr>
          <w:hyperlink w:anchor="_Toc240375135" w:history="1">
            <w:r w:rsidRPr="00BC26FD">
              <w:rPr>
                <w:rStyle w:val="Collegamentoipertestuale"/>
                <w:sz w:val="18"/>
                <w:szCs w:val="18"/>
              </w:rPr>
              <w:t>Articolo 34 – Fondo per le regioni a statuto ordinario</w:t>
            </w:r>
            <w:r w:rsidRPr="00BC26FD">
              <w:rPr>
                <w:webHidden/>
                <w:sz w:val="18"/>
                <w:szCs w:val="18"/>
              </w:rPr>
              <w:tab/>
            </w:r>
            <w:r w:rsidRPr="00BC26FD">
              <w:rPr>
                <w:webHidden/>
                <w:sz w:val="18"/>
                <w:szCs w:val="18"/>
              </w:rPr>
              <w:fldChar w:fldCharType="begin"/>
            </w:r>
            <w:r w:rsidRPr="00BC26FD">
              <w:rPr>
                <w:webHidden/>
                <w:sz w:val="18"/>
                <w:szCs w:val="18"/>
              </w:rPr>
              <w:instrText xml:space="preserve"> PAGEREF _Toc240375135 \h </w:instrText>
            </w:r>
            <w:r w:rsidRPr="00BC26FD">
              <w:rPr>
                <w:webHidden/>
                <w:sz w:val="18"/>
                <w:szCs w:val="18"/>
              </w:rPr>
            </w:r>
            <w:r w:rsidRPr="00BC26FD">
              <w:rPr>
                <w:webHidden/>
                <w:sz w:val="18"/>
                <w:szCs w:val="18"/>
              </w:rPr>
              <w:fldChar w:fldCharType="separate"/>
            </w:r>
            <w:r w:rsidR="005620E4">
              <w:rPr>
                <w:webHidden/>
                <w:sz w:val="18"/>
                <w:szCs w:val="18"/>
              </w:rPr>
              <w:t>18</w:t>
            </w:r>
            <w:r w:rsidRPr="00BC26FD">
              <w:rPr>
                <w:webHidden/>
                <w:sz w:val="18"/>
                <w:szCs w:val="18"/>
              </w:rPr>
              <w:fldChar w:fldCharType="end"/>
            </w:r>
          </w:hyperlink>
        </w:p>
        <w:p w14:paraId="3ED0C99D" w14:textId="668955AF" w:rsidR="00B74F46" w:rsidRPr="00BC26FD" w:rsidRDefault="00B74F46" w:rsidP="00BC26FD">
          <w:pPr>
            <w:pStyle w:val="Sommario2"/>
            <w:spacing w:line="240" w:lineRule="auto"/>
            <w:rPr>
              <w:rFonts w:asciiTheme="minorHAnsi" w:eastAsiaTheme="minorEastAsia" w:hAnsiTheme="minorHAnsi"/>
              <w:sz w:val="22"/>
              <w:szCs w:val="22"/>
              <w:lang w:eastAsia="it-IT"/>
            </w:rPr>
          </w:pPr>
          <w:hyperlink w:anchor="_Toc240375136" w:history="1">
            <w:r w:rsidRPr="00BC26FD">
              <w:rPr>
                <w:rStyle w:val="Collegamentoipertestuale"/>
                <w:sz w:val="18"/>
                <w:szCs w:val="18"/>
              </w:rPr>
              <w:t>Tributi regionali</w:t>
            </w:r>
            <w:r w:rsidRPr="00BC26FD">
              <w:rPr>
                <w:webHidden/>
                <w:sz w:val="18"/>
                <w:szCs w:val="18"/>
              </w:rPr>
              <w:tab/>
            </w:r>
            <w:r w:rsidRPr="00BC26FD">
              <w:rPr>
                <w:webHidden/>
                <w:sz w:val="18"/>
                <w:szCs w:val="18"/>
              </w:rPr>
              <w:fldChar w:fldCharType="begin"/>
            </w:r>
            <w:r w:rsidRPr="00BC26FD">
              <w:rPr>
                <w:webHidden/>
                <w:sz w:val="18"/>
                <w:szCs w:val="18"/>
              </w:rPr>
              <w:instrText xml:space="preserve"> PAGEREF _Toc240375136 \h </w:instrText>
            </w:r>
            <w:r w:rsidRPr="00BC26FD">
              <w:rPr>
                <w:webHidden/>
                <w:sz w:val="18"/>
                <w:szCs w:val="18"/>
              </w:rPr>
            </w:r>
            <w:r w:rsidRPr="00BC26FD">
              <w:rPr>
                <w:webHidden/>
                <w:sz w:val="18"/>
                <w:szCs w:val="18"/>
              </w:rPr>
              <w:fldChar w:fldCharType="separate"/>
            </w:r>
            <w:r w:rsidR="005620E4">
              <w:rPr>
                <w:webHidden/>
                <w:sz w:val="18"/>
                <w:szCs w:val="18"/>
              </w:rPr>
              <w:t>18</w:t>
            </w:r>
            <w:r w:rsidRPr="00BC26FD">
              <w:rPr>
                <w:webHidden/>
                <w:sz w:val="18"/>
                <w:szCs w:val="18"/>
              </w:rPr>
              <w:fldChar w:fldCharType="end"/>
            </w:r>
          </w:hyperlink>
        </w:p>
        <w:p w14:paraId="6AD36054" w14:textId="3DA9032D" w:rsidR="00B74F46" w:rsidRPr="00BC26FD" w:rsidRDefault="00B74F46" w:rsidP="00BC26FD">
          <w:pPr>
            <w:pStyle w:val="Sommario2"/>
            <w:spacing w:line="240" w:lineRule="auto"/>
            <w:ind w:left="284"/>
            <w:rPr>
              <w:rFonts w:asciiTheme="minorHAnsi" w:eastAsiaTheme="minorEastAsia" w:hAnsiTheme="minorHAnsi"/>
              <w:sz w:val="22"/>
              <w:szCs w:val="22"/>
              <w:lang w:eastAsia="it-IT"/>
            </w:rPr>
          </w:pPr>
          <w:hyperlink w:anchor="_Toc240375137" w:history="1">
            <w:r w:rsidRPr="00BC26FD">
              <w:rPr>
                <w:rStyle w:val="Collegamentoipertestuale"/>
                <w:sz w:val="18"/>
                <w:szCs w:val="18"/>
              </w:rPr>
              <w:t>Articolo 13 – Maggiore autonomia impositiva sulla tassa automobilistica</w:t>
            </w:r>
            <w:r w:rsidRPr="00BC26FD">
              <w:rPr>
                <w:webHidden/>
                <w:sz w:val="18"/>
                <w:szCs w:val="18"/>
              </w:rPr>
              <w:tab/>
            </w:r>
            <w:r w:rsidRPr="00BC26FD">
              <w:rPr>
                <w:webHidden/>
                <w:sz w:val="18"/>
                <w:szCs w:val="18"/>
              </w:rPr>
              <w:fldChar w:fldCharType="begin"/>
            </w:r>
            <w:r w:rsidRPr="00BC26FD">
              <w:rPr>
                <w:webHidden/>
                <w:sz w:val="18"/>
                <w:szCs w:val="18"/>
              </w:rPr>
              <w:instrText xml:space="preserve"> PAGEREF _Toc240375137 \h </w:instrText>
            </w:r>
            <w:r w:rsidRPr="00BC26FD">
              <w:rPr>
                <w:webHidden/>
                <w:sz w:val="18"/>
                <w:szCs w:val="18"/>
              </w:rPr>
            </w:r>
            <w:r w:rsidRPr="00BC26FD">
              <w:rPr>
                <w:webHidden/>
                <w:sz w:val="18"/>
                <w:szCs w:val="18"/>
              </w:rPr>
              <w:fldChar w:fldCharType="separate"/>
            </w:r>
            <w:r w:rsidR="005620E4">
              <w:rPr>
                <w:webHidden/>
                <w:sz w:val="18"/>
                <w:szCs w:val="18"/>
              </w:rPr>
              <w:t>18</w:t>
            </w:r>
            <w:r w:rsidRPr="00BC26FD">
              <w:rPr>
                <w:webHidden/>
                <w:sz w:val="18"/>
                <w:szCs w:val="18"/>
              </w:rPr>
              <w:fldChar w:fldCharType="end"/>
            </w:r>
          </w:hyperlink>
        </w:p>
        <w:p w14:paraId="4A235D9E" w14:textId="17EB9EB5" w:rsidR="00B74F46" w:rsidRPr="00BC26FD" w:rsidRDefault="00B74F46" w:rsidP="00BC26FD">
          <w:pPr>
            <w:pStyle w:val="Sommario2"/>
            <w:spacing w:line="240" w:lineRule="auto"/>
            <w:ind w:left="284"/>
            <w:rPr>
              <w:rFonts w:asciiTheme="minorHAnsi" w:eastAsiaTheme="minorEastAsia" w:hAnsiTheme="minorHAnsi"/>
              <w:sz w:val="22"/>
              <w:szCs w:val="22"/>
              <w:lang w:eastAsia="it-IT"/>
            </w:rPr>
          </w:pPr>
          <w:hyperlink w:anchor="_Toc240375138" w:history="1">
            <w:r w:rsidRPr="00BC26FD">
              <w:rPr>
                <w:rStyle w:val="Collegamentoipertestuale"/>
                <w:sz w:val="18"/>
                <w:szCs w:val="18"/>
              </w:rPr>
              <w:t>Articolo 14 – Territorialità della tassa automobilistica</w:t>
            </w:r>
            <w:r w:rsidRPr="00BC26FD">
              <w:rPr>
                <w:webHidden/>
                <w:sz w:val="18"/>
                <w:szCs w:val="18"/>
              </w:rPr>
              <w:tab/>
            </w:r>
            <w:r w:rsidRPr="00BC26FD">
              <w:rPr>
                <w:webHidden/>
                <w:sz w:val="18"/>
                <w:szCs w:val="18"/>
              </w:rPr>
              <w:fldChar w:fldCharType="begin"/>
            </w:r>
            <w:r w:rsidRPr="00BC26FD">
              <w:rPr>
                <w:webHidden/>
                <w:sz w:val="18"/>
                <w:szCs w:val="18"/>
              </w:rPr>
              <w:instrText xml:space="preserve"> PAGEREF _Toc240375138 \h </w:instrText>
            </w:r>
            <w:r w:rsidRPr="00BC26FD">
              <w:rPr>
                <w:webHidden/>
                <w:sz w:val="18"/>
                <w:szCs w:val="18"/>
              </w:rPr>
            </w:r>
            <w:r w:rsidRPr="00BC26FD">
              <w:rPr>
                <w:webHidden/>
                <w:sz w:val="18"/>
                <w:szCs w:val="18"/>
              </w:rPr>
              <w:fldChar w:fldCharType="separate"/>
            </w:r>
            <w:r w:rsidR="005620E4">
              <w:rPr>
                <w:webHidden/>
                <w:sz w:val="18"/>
                <w:szCs w:val="18"/>
              </w:rPr>
              <w:t>18</w:t>
            </w:r>
            <w:r w:rsidRPr="00BC26FD">
              <w:rPr>
                <w:webHidden/>
                <w:sz w:val="18"/>
                <w:szCs w:val="18"/>
              </w:rPr>
              <w:fldChar w:fldCharType="end"/>
            </w:r>
          </w:hyperlink>
        </w:p>
        <w:p w14:paraId="49CB4DD7" w14:textId="0B593095" w:rsidR="00B74F46" w:rsidRPr="00BC26FD" w:rsidRDefault="00B74F46" w:rsidP="00BC26FD">
          <w:pPr>
            <w:pStyle w:val="Sommario2"/>
            <w:spacing w:line="240" w:lineRule="auto"/>
            <w:ind w:left="284"/>
            <w:rPr>
              <w:rFonts w:asciiTheme="minorHAnsi" w:eastAsiaTheme="minorEastAsia" w:hAnsiTheme="minorHAnsi"/>
              <w:sz w:val="22"/>
              <w:szCs w:val="22"/>
              <w:lang w:eastAsia="it-IT"/>
            </w:rPr>
          </w:pPr>
          <w:hyperlink w:anchor="_Toc240375139" w:history="1">
            <w:r w:rsidRPr="00BC26FD">
              <w:rPr>
                <w:rStyle w:val="Collegamentoipertestuale"/>
                <w:sz w:val="18"/>
                <w:szCs w:val="18"/>
              </w:rPr>
              <w:t>Articolo 15 – Semplificazione del pagamento della tassa automobilistica</w:t>
            </w:r>
            <w:r w:rsidRPr="00BC26FD">
              <w:rPr>
                <w:webHidden/>
                <w:sz w:val="18"/>
                <w:szCs w:val="18"/>
              </w:rPr>
              <w:tab/>
            </w:r>
            <w:r w:rsidRPr="00BC26FD">
              <w:rPr>
                <w:webHidden/>
                <w:sz w:val="18"/>
                <w:szCs w:val="18"/>
              </w:rPr>
              <w:fldChar w:fldCharType="begin"/>
            </w:r>
            <w:r w:rsidRPr="00BC26FD">
              <w:rPr>
                <w:webHidden/>
                <w:sz w:val="18"/>
                <w:szCs w:val="18"/>
              </w:rPr>
              <w:instrText xml:space="preserve"> PAGEREF _Toc240375139 \h </w:instrText>
            </w:r>
            <w:r w:rsidRPr="00BC26FD">
              <w:rPr>
                <w:webHidden/>
                <w:sz w:val="18"/>
                <w:szCs w:val="18"/>
              </w:rPr>
            </w:r>
            <w:r w:rsidRPr="00BC26FD">
              <w:rPr>
                <w:webHidden/>
                <w:sz w:val="18"/>
                <w:szCs w:val="18"/>
              </w:rPr>
              <w:fldChar w:fldCharType="separate"/>
            </w:r>
            <w:r w:rsidR="005620E4">
              <w:rPr>
                <w:webHidden/>
                <w:sz w:val="18"/>
                <w:szCs w:val="18"/>
              </w:rPr>
              <w:t>19</w:t>
            </w:r>
            <w:r w:rsidRPr="00BC26FD">
              <w:rPr>
                <w:webHidden/>
                <w:sz w:val="18"/>
                <w:szCs w:val="18"/>
              </w:rPr>
              <w:fldChar w:fldCharType="end"/>
            </w:r>
          </w:hyperlink>
        </w:p>
        <w:p w14:paraId="177609F9" w14:textId="45343290" w:rsidR="00B74F46" w:rsidRPr="00BC26FD" w:rsidRDefault="00B74F46" w:rsidP="00BC26FD">
          <w:pPr>
            <w:pStyle w:val="Sommario2"/>
            <w:spacing w:line="240" w:lineRule="auto"/>
            <w:ind w:left="284"/>
            <w:rPr>
              <w:rFonts w:asciiTheme="minorHAnsi" w:eastAsiaTheme="minorEastAsia" w:hAnsiTheme="minorHAnsi"/>
              <w:sz w:val="22"/>
              <w:szCs w:val="22"/>
              <w:lang w:eastAsia="it-IT"/>
            </w:rPr>
          </w:pPr>
          <w:hyperlink w:anchor="_Toc240375140" w:history="1">
            <w:r w:rsidRPr="00BC26FD">
              <w:rPr>
                <w:rStyle w:val="Collegamentoipertestuale"/>
                <w:sz w:val="18"/>
                <w:szCs w:val="18"/>
              </w:rPr>
              <w:t>Articolo 16 – Locazione a lungo termine senza conducente</w:t>
            </w:r>
            <w:r w:rsidRPr="00BC26FD">
              <w:rPr>
                <w:webHidden/>
                <w:sz w:val="18"/>
                <w:szCs w:val="18"/>
              </w:rPr>
              <w:tab/>
            </w:r>
            <w:r w:rsidRPr="00BC26FD">
              <w:rPr>
                <w:webHidden/>
                <w:sz w:val="18"/>
                <w:szCs w:val="18"/>
              </w:rPr>
              <w:fldChar w:fldCharType="begin"/>
            </w:r>
            <w:r w:rsidRPr="00BC26FD">
              <w:rPr>
                <w:webHidden/>
                <w:sz w:val="18"/>
                <w:szCs w:val="18"/>
              </w:rPr>
              <w:instrText xml:space="preserve"> PAGEREF _Toc240375140 \h </w:instrText>
            </w:r>
            <w:r w:rsidRPr="00BC26FD">
              <w:rPr>
                <w:webHidden/>
                <w:sz w:val="18"/>
                <w:szCs w:val="18"/>
              </w:rPr>
            </w:r>
            <w:r w:rsidRPr="00BC26FD">
              <w:rPr>
                <w:webHidden/>
                <w:sz w:val="18"/>
                <w:szCs w:val="18"/>
              </w:rPr>
              <w:fldChar w:fldCharType="separate"/>
            </w:r>
            <w:r w:rsidR="005620E4">
              <w:rPr>
                <w:webHidden/>
                <w:sz w:val="18"/>
                <w:szCs w:val="18"/>
              </w:rPr>
              <w:t>19</w:t>
            </w:r>
            <w:r w:rsidRPr="00BC26FD">
              <w:rPr>
                <w:webHidden/>
                <w:sz w:val="18"/>
                <w:szCs w:val="18"/>
              </w:rPr>
              <w:fldChar w:fldCharType="end"/>
            </w:r>
          </w:hyperlink>
        </w:p>
        <w:p w14:paraId="26695945" w14:textId="7E84899D" w:rsidR="00B74F46" w:rsidRPr="00BC26FD" w:rsidRDefault="00B74F46" w:rsidP="00BC26FD">
          <w:pPr>
            <w:pStyle w:val="Sommario2"/>
            <w:spacing w:line="240" w:lineRule="auto"/>
            <w:ind w:left="284"/>
            <w:rPr>
              <w:rFonts w:asciiTheme="minorHAnsi" w:eastAsiaTheme="minorEastAsia" w:hAnsiTheme="minorHAnsi"/>
              <w:sz w:val="22"/>
              <w:szCs w:val="22"/>
              <w:lang w:eastAsia="it-IT"/>
            </w:rPr>
          </w:pPr>
          <w:hyperlink w:anchor="_Toc240375141" w:history="1">
            <w:r w:rsidRPr="00BC26FD">
              <w:rPr>
                <w:rStyle w:val="Collegamentoipertestuale"/>
                <w:sz w:val="18"/>
                <w:szCs w:val="18"/>
              </w:rPr>
              <w:t>Articolo 17 – Cessione dei veicoli destinati alla rivendita</w:t>
            </w:r>
            <w:r w:rsidRPr="00BC26FD">
              <w:rPr>
                <w:webHidden/>
                <w:sz w:val="18"/>
                <w:szCs w:val="18"/>
              </w:rPr>
              <w:tab/>
            </w:r>
            <w:r w:rsidRPr="00BC26FD">
              <w:rPr>
                <w:webHidden/>
                <w:sz w:val="18"/>
                <w:szCs w:val="18"/>
              </w:rPr>
              <w:fldChar w:fldCharType="begin"/>
            </w:r>
            <w:r w:rsidRPr="00BC26FD">
              <w:rPr>
                <w:webHidden/>
                <w:sz w:val="18"/>
                <w:szCs w:val="18"/>
              </w:rPr>
              <w:instrText xml:space="preserve"> PAGEREF _Toc240375141 \h </w:instrText>
            </w:r>
            <w:r w:rsidRPr="00BC26FD">
              <w:rPr>
                <w:webHidden/>
                <w:sz w:val="18"/>
                <w:szCs w:val="18"/>
              </w:rPr>
            </w:r>
            <w:r w:rsidRPr="00BC26FD">
              <w:rPr>
                <w:webHidden/>
                <w:sz w:val="18"/>
                <w:szCs w:val="18"/>
              </w:rPr>
              <w:fldChar w:fldCharType="separate"/>
            </w:r>
            <w:r w:rsidR="005620E4">
              <w:rPr>
                <w:webHidden/>
                <w:sz w:val="18"/>
                <w:szCs w:val="18"/>
              </w:rPr>
              <w:t>19</w:t>
            </w:r>
            <w:r w:rsidRPr="00BC26FD">
              <w:rPr>
                <w:webHidden/>
                <w:sz w:val="18"/>
                <w:szCs w:val="18"/>
              </w:rPr>
              <w:fldChar w:fldCharType="end"/>
            </w:r>
          </w:hyperlink>
        </w:p>
        <w:p w14:paraId="32926E4E" w14:textId="3DA03AEE" w:rsidR="00B74F46" w:rsidRPr="00BC26FD" w:rsidRDefault="00B74F46" w:rsidP="00BC26FD">
          <w:pPr>
            <w:pStyle w:val="Sommario2"/>
            <w:spacing w:line="240" w:lineRule="auto"/>
            <w:ind w:left="284"/>
            <w:rPr>
              <w:rFonts w:asciiTheme="minorHAnsi" w:eastAsiaTheme="minorEastAsia" w:hAnsiTheme="minorHAnsi"/>
              <w:sz w:val="22"/>
              <w:szCs w:val="22"/>
              <w:lang w:eastAsia="it-IT"/>
            </w:rPr>
          </w:pPr>
          <w:hyperlink w:anchor="_Toc240375142" w:history="1">
            <w:r w:rsidRPr="00BC26FD">
              <w:rPr>
                <w:rStyle w:val="Collegamentoipertestuale"/>
                <w:sz w:val="18"/>
                <w:szCs w:val="18"/>
              </w:rPr>
              <w:t>Articolo 18 – Versamento a ente impositore incompetente</w:t>
            </w:r>
            <w:r w:rsidRPr="00BC26FD">
              <w:rPr>
                <w:webHidden/>
                <w:sz w:val="18"/>
                <w:szCs w:val="18"/>
              </w:rPr>
              <w:tab/>
            </w:r>
            <w:r w:rsidRPr="00BC26FD">
              <w:rPr>
                <w:webHidden/>
                <w:sz w:val="18"/>
                <w:szCs w:val="18"/>
              </w:rPr>
              <w:fldChar w:fldCharType="begin"/>
            </w:r>
            <w:r w:rsidRPr="00BC26FD">
              <w:rPr>
                <w:webHidden/>
                <w:sz w:val="18"/>
                <w:szCs w:val="18"/>
              </w:rPr>
              <w:instrText xml:space="preserve"> PAGEREF _Toc240375142 \h </w:instrText>
            </w:r>
            <w:r w:rsidRPr="00BC26FD">
              <w:rPr>
                <w:webHidden/>
                <w:sz w:val="18"/>
                <w:szCs w:val="18"/>
              </w:rPr>
            </w:r>
            <w:r w:rsidRPr="00BC26FD">
              <w:rPr>
                <w:webHidden/>
                <w:sz w:val="18"/>
                <w:szCs w:val="18"/>
              </w:rPr>
              <w:fldChar w:fldCharType="separate"/>
            </w:r>
            <w:r w:rsidR="005620E4">
              <w:rPr>
                <w:webHidden/>
                <w:sz w:val="18"/>
                <w:szCs w:val="18"/>
              </w:rPr>
              <w:t>19</w:t>
            </w:r>
            <w:r w:rsidRPr="00BC26FD">
              <w:rPr>
                <w:webHidden/>
                <w:sz w:val="18"/>
                <w:szCs w:val="18"/>
              </w:rPr>
              <w:fldChar w:fldCharType="end"/>
            </w:r>
          </w:hyperlink>
        </w:p>
        <w:p w14:paraId="369E6FB1" w14:textId="47018FB5" w:rsidR="00B74F46" w:rsidRPr="00BC26FD" w:rsidRDefault="00B74F46" w:rsidP="00BC26FD">
          <w:pPr>
            <w:pStyle w:val="Sommario2"/>
            <w:spacing w:line="240" w:lineRule="auto"/>
            <w:ind w:left="284"/>
            <w:rPr>
              <w:rFonts w:asciiTheme="minorHAnsi" w:eastAsiaTheme="minorEastAsia" w:hAnsiTheme="minorHAnsi"/>
              <w:sz w:val="22"/>
              <w:szCs w:val="22"/>
              <w:lang w:eastAsia="it-IT"/>
            </w:rPr>
          </w:pPr>
          <w:hyperlink w:anchor="_Toc240375143" w:history="1">
            <w:r w:rsidRPr="00BC26FD">
              <w:rPr>
                <w:rStyle w:val="Collegamentoipertestuale"/>
                <w:sz w:val="18"/>
                <w:szCs w:val="18"/>
              </w:rPr>
              <w:t>Articolo 19 – Fermo amministrativo</w:t>
            </w:r>
            <w:r w:rsidRPr="00BC26FD">
              <w:rPr>
                <w:webHidden/>
                <w:sz w:val="18"/>
                <w:szCs w:val="18"/>
              </w:rPr>
              <w:tab/>
            </w:r>
            <w:r w:rsidRPr="00BC26FD">
              <w:rPr>
                <w:webHidden/>
                <w:sz w:val="18"/>
                <w:szCs w:val="18"/>
              </w:rPr>
              <w:fldChar w:fldCharType="begin"/>
            </w:r>
            <w:r w:rsidRPr="00BC26FD">
              <w:rPr>
                <w:webHidden/>
                <w:sz w:val="18"/>
                <w:szCs w:val="18"/>
              </w:rPr>
              <w:instrText xml:space="preserve"> PAGEREF _Toc240375143 \h </w:instrText>
            </w:r>
            <w:r w:rsidRPr="00BC26FD">
              <w:rPr>
                <w:webHidden/>
                <w:sz w:val="18"/>
                <w:szCs w:val="18"/>
              </w:rPr>
            </w:r>
            <w:r w:rsidRPr="00BC26FD">
              <w:rPr>
                <w:webHidden/>
                <w:sz w:val="18"/>
                <w:szCs w:val="18"/>
              </w:rPr>
              <w:fldChar w:fldCharType="separate"/>
            </w:r>
            <w:r w:rsidR="005620E4">
              <w:rPr>
                <w:webHidden/>
                <w:sz w:val="18"/>
                <w:szCs w:val="18"/>
              </w:rPr>
              <w:t>19</w:t>
            </w:r>
            <w:r w:rsidRPr="00BC26FD">
              <w:rPr>
                <w:webHidden/>
                <w:sz w:val="18"/>
                <w:szCs w:val="18"/>
              </w:rPr>
              <w:fldChar w:fldCharType="end"/>
            </w:r>
          </w:hyperlink>
        </w:p>
        <w:p w14:paraId="772FAC78" w14:textId="331F50BD" w:rsidR="00B74F46" w:rsidRPr="00BC26FD" w:rsidRDefault="00B74F46" w:rsidP="00BC26FD">
          <w:pPr>
            <w:pStyle w:val="Sommario2"/>
            <w:spacing w:line="240" w:lineRule="auto"/>
            <w:ind w:left="284"/>
            <w:rPr>
              <w:rFonts w:asciiTheme="minorHAnsi" w:eastAsiaTheme="minorEastAsia" w:hAnsiTheme="minorHAnsi"/>
              <w:sz w:val="22"/>
              <w:szCs w:val="22"/>
              <w:lang w:eastAsia="it-IT"/>
            </w:rPr>
          </w:pPr>
          <w:hyperlink w:anchor="_Toc240375144" w:history="1">
            <w:r w:rsidRPr="00BC26FD">
              <w:rPr>
                <w:rStyle w:val="Collegamentoipertestuale"/>
                <w:sz w:val="18"/>
                <w:szCs w:val="18"/>
              </w:rPr>
              <w:t>Articolo 20 – Adeguamento delle tariffe</w:t>
            </w:r>
            <w:r w:rsidRPr="00BC26FD">
              <w:rPr>
                <w:webHidden/>
                <w:sz w:val="18"/>
                <w:szCs w:val="18"/>
              </w:rPr>
              <w:tab/>
            </w:r>
            <w:r w:rsidRPr="00BC26FD">
              <w:rPr>
                <w:webHidden/>
                <w:sz w:val="18"/>
                <w:szCs w:val="18"/>
              </w:rPr>
              <w:fldChar w:fldCharType="begin"/>
            </w:r>
            <w:r w:rsidRPr="00BC26FD">
              <w:rPr>
                <w:webHidden/>
                <w:sz w:val="18"/>
                <w:szCs w:val="18"/>
              </w:rPr>
              <w:instrText xml:space="preserve"> PAGEREF _Toc240375144 \h </w:instrText>
            </w:r>
            <w:r w:rsidRPr="00BC26FD">
              <w:rPr>
                <w:webHidden/>
                <w:sz w:val="18"/>
                <w:szCs w:val="18"/>
              </w:rPr>
            </w:r>
            <w:r w:rsidRPr="00BC26FD">
              <w:rPr>
                <w:webHidden/>
                <w:sz w:val="18"/>
                <w:szCs w:val="18"/>
              </w:rPr>
              <w:fldChar w:fldCharType="separate"/>
            </w:r>
            <w:r w:rsidR="005620E4">
              <w:rPr>
                <w:webHidden/>
                <w:sz w:val="18"/>
                <w:szCs w:val="18"/>
              </w:rPr>
              <w:t>20</w:t>
            </w:r>
            <w:r w:rsidRPr="00BC26FD">
              <w:rPr>
                <w:webHidden/>
                <w:sz w:val="18"/>
                <w:szCs w:val="18"/>
              </w:rPr>
              <w:fldChar w:fldCharType="end"/>
            </w:r>
          </w:hyperlink>
        </w:p>
        <w:p w14:paraId="7AF86942" w14:textId="21F2E507" w:rsidR="00B74F46" w:rsidRPr="00BC26FD" w:rsidRDefault="00B74F46" w:rsidP="00BC26FD">
          <w:pPr>
            <w:pStyle w:val="Sommario2"/>
            <w:spacing w:line="240" w:lineRule="auto"/>
            <w:ind w:left="284"/>
            <w:rPr>
              <w:rFonts w:asciiTheme="minorHAnsi" w:eastAsiaTheme="minorEastAsia" w:hAnsiTheme="minorHAnsi"/>
              <w:sz w:val="22"/>
              <w:szCs w:val="22"/>
              <w:lang w:eastAsia="it-IT"/>
            </w:rPr>
          </w:pPr>
          <w:hyperlink w:anchor="_Toc240375145" w:history="1">
            <w:r w:rsidRPr="00BC26FD">
              <w:rPr>
                <w:rStyle w:val="Collegamentoipertestuale"/>
                <w:sz w:val="18"/>
                <w:szCs w:val="18"/>
              </w:rPr>
              <w:t>Articolo 21 – Autovetture adibite a noleggio con conducente</w:t>
            </w:r>
            <w:r w:rsidRPr="00BC26FD">
              <w:rPr>
                <w:webHidden/>
                <w:sz w:val="18"/>
                <w:szCs w:val="18"/>
              </w:rPr>
              <w:tab/>
            </w:r>
            <w:r w:rsidRPr="00BC26FD">
              <w:rPr>
                <w:webHidden/>
                <w:sz w:val="18"/>
                <w:szCs w:val="18"/>
              </w:rPr>
              <w:fldChar w:fldCharType="begin"/>
            </w:r>
            <w:r w:rsidRPr="00BC26FD">
              <w:rPr>
                <w:webHidden/>
                <w:sz w:val="18"/>
                <w:szCs w:val="18"/>
              </w:rPr>
              <w:instrText xml:space="preserve"> PAGEREF _Toc240375145 \h </w:instrText>
            </w:r>
            <w:r w:rsidRPr="00BC26FD">
              <w:rPr>
                <w:webHidden/>
                <w:sz w:val="18"/>
                <w:szCs w:val="18"/>
              </w:rPr>
            </w:r>
            <w:r w:rsidRPr="00BC26FD">
              <w:rPr>
                <w:webHidden/>
                <w:sz w:val="18"/>
                <w:szCs w:val="18"/>
              </w:rPr>
              <w:fldChar w:fldCharType="separate"/>
            </w:r>
            <w:r w:rsidR="005620E4">
              <w:rPr>
                <w:webHidden/>
                <w:sz w:val="18"/>
                <w:szCs w:val="18"/>
              </w:rPr>
              <w:t>20</w:t>
            </w:r>
            <w:r w:rsidRPr="00BC26FD">
              <w:rPr>
                <w:webHidden/>
                <w:sz w:val="18"/>
                <w:szCs w:val="18"/>
              </w:rPr>
              <w:fldChar w:fldCharType="end"/>
            </w:r>
          </w:hyperlink>
        </w:p>
        <w:p w14:paraId="26EAF7F2" w14:textId="7E4901F3" w:rsidR="00B74F46" w:rsidRPr="00BC26FD" w:rsidRDefault="00B74F46" w:rsidP="00BC26FD">
          <w:pPr>
            <w:pStyle w:val="Sommario2"/>
            <w:spacing w:line="240" w:lineRule="auto"/>
            <w:ind w:left="284"/>
            <w:rPr>
              <w:rFonts w:asciiTheme="minorHAnsi" w:eastAsiaTheme="minorEastAsia" w:hAnsiTheme="minorHAnsi"/>
              <w:sz w:val="22"/>
              <w:szCs w:val="22"/>
              <w:lang w:eastAsia="it-IT"/>
            </w:rPr>
          </w:pPr>
          <w:hyperlink w:anchor="_Toc240375146" w:history="1">
            <w:r w:rsidRPr="00BC26FD">
              <w:rPr>
                <w:rStyle w:val="Collegamentoipertestuale"/>
                <w:sz w:val="18"/>
                <w:szCs w:val="18"/>
              </w:rPr>
              <w:t>Articolo 22 – Archivio nazionale delle tasse automobilistiche</w:t>
            </w:r>
            <w:r w:rsidRPr="00BC26FD">
              <w:rPr>
                <w:webHidden/>
                <w:sz w:val="18"/>
                <w:szCs w:val="18"/>
              </w:rPr>
              <w:tab/>
            </w:r>
            <w:r w:rsidRPr="00BC26FD">
              <w:rPr>
                <w:webHidden/>
                <w:sz w:val="18"/>
                <w:szCs w:val="18"/>
              </w:rPr>
              <w:fldChar w:fldCharType="begin"/>
            </w:r>
            <w:r w:rsidRPr="00BC26FD">
              <w:rPr>
                <w:webHidden/>
                <w:sz w:val="18"/>
                <w:szCs w:val="18"/>
              </w:rPr>
              <w:instrText xml:space="preserve"> PAGEREF _Toc240375146 \h </w:instrText>
            </w:r>
            <w:r w:rsidRPr="00BC26FD">
              <w:rPr>
                <w:webHidden/>
                <w:sz w:val="18"/>
                <w:szCs w:val="18"/>
              </w:rPr>
            </w:r>
            <w:r w:rsidRPr="00BC26FD">
              <w:rPr>
                <w:webHidden/>
                <w:sz w:val="18"/>
                <w:szCs w:val="18"/>
              </w:rPr>
              <w:fldChar w:fldCharType="separate"/>
            </w:r>
            <w:r w:rsidR="005620E4">
              <w:rPr>
                <w:webHidden/>
                <w:sz w:val="18"/>
                <w:szCs w:val="18"/>
              </w:rPr>
              <w:t>20</w:t>
            </w:r>
            <w:r w:rsidRPr="00BC26FD">
              <w:rPr>
                <w:webHidden/>
                <w:sz w:val="18"/>
                <w:szCs w:val="18"/>
              </w:rPr>
              <w:fldChar w:fldCharType="end"/>
            </w:r>
          </w:hyperlink>
        </w:p>
        <w:p w14:paraId="1F36D934" w14:textId="51DCC143" w:rsidR="00B74F46" w:rsidRPr="00BC26FD" w:rsidRDefault="00B74F46" w:rsidP="00BC26FD">
          <w:pPr>
            <w:pStyle w:val="Sommario2"/>
            <w:spacing w:line="240" w:lineRule="auto"/>
            <w:ind w:left="284"/>
            <w:rPr>
              <w:rFonts w:asciiTheme="minorHAnsi" w:eastAsiaTheme="minorEastAsia" w:hAnsiTheme="minorHAnsi"/>
              <w:sz w:val="22"/>
              <w:szCs w:val="22"/>
              <w:lang w:eastAsia="it-IT"/>
            </w:rPr>
          </w:pPr>
          <w:hyperlink w:anchor="_Toc240375147" w:history="1">
            <w:r w:rsidRPr="00BC26FD">
              <w:rPr>
                <w:rStyle w:val="Collegamentoipertestuale"/>
                <w:sz w:val="18"/>
                <w:szCs w:val="18"/>
              </w:rPr>
              <w:t>Articolo 23 – IRAP e addizionale regionale all’IRPEF</w:t>
            </w:r>
            <w:r w:rsidRPr="00BC26FD">
              <w:rPr>
                <w:webHidden/>
                <w:sz w:val="18"/>
                <w:szCs w:val="18"/>
              </w:rPr>
              <w:tab/>
            </w:r>
            <w:r w:rsidRPr="00BC26FD">
              <w:rPr>
                <w:webHidden/>
                <w:sz w:val="18"/>
                <w:szCs w:val="18"/>
              </w:rPr>
              <w:fldChar w:fldCharType="begin"/>
            </w:r>
            <w:r w:rsidRPr="00BC26FD">
              <w:rPr>
                <w:webHidden/>
                <w:sz w:val="18"/>
                <w:szCs w:val="18"/>
              </w:rPr>
              <w:instrText xml:space="preserve"> PAGEREF _Toc240375147 \h </w:instrText>
            </w:r>
            <w:r w:rsidRPr="00BC26FD">
              <w:rPr>
                <w:webHidden/>
                <w:sz w:val="18"/>
                <w:szCs w:val="18"/>
              </w:rPr>
            </w:r>
            <w:r w:rsidRPr="00BC26FD">
              <w:rPr>
                <w:webHidden/>
                <w:sz w:val="18"/>
                <w:szCs w:val="18"/>
              </w:rPr>
              <w:fldChar w:fldCharType="separate"/>
            </w:r>
            <w:r w:rsidR="005620E4">
              <w:rPr>
                <w:webHidden/>
                <w:sz w:val="18"/>
                <w:szCs w:val="18"/>
              </w:rPr>
              <w:t>20</w:t>
            </w:r>
            <w:r w:rsidRPr="00BC26FD">
              <w:rPr>
                <w:webHidden/>
                <w:sz w:val="18"/>
                <w:szCs w:val="18"/>
              </w:rPr>
              <w:fldChar w:fldCharType="end"/>
            </w:r>
          </w:hyperlink>
        </w:p>
        <w:p w14:paraId="16377503" w14:textId="1CEEF618" w:rsidR="00B74F46" w:rsidRPr="00BC26FD" w:rsidRDefault="00B74F46" w:rsidP="00BC26FD">
          <w:pPr>
            <w:pStyle w:val="Sommario2"/>
            <w:spacing w:line="240" w:lineRule="auto"/>
            <w:ind w:left="284"/>
            <w:rPr>
              <w:rFonts w:asciiTheme="minorHAnsi" w:eastAsiaTheme="minorEastAsia" w:hAnsiTheme="minorHAnsi"/>
              <w:sz w:val="22"/>
              <w:szCs w:val="22"/>
              <w:lang w:eastAsia="it-IT"/>
            </w:rPr>
          </w:pPr>
          <w:hyperlink w:anchor="_Toc240375148" w:history="1">
            <w:r w:rsidRPr="00BC26FD">
              <w:rPr>
                <w:rStyle w:val="Collegamentoipertestuale"/>
                <w:sz w:val="18"/>
                <w:szCs w:val="18"/>
              </w:rPr>
              <w:t>Articolo 24 – Termini per l’adozione di misure tributarie regionali</w:t>
            </w:r>
            <w:r w:rsidRPr="00BC26FD">
              <w:rPr>
                <w:webHidden/>
                <w:sz w:val="18"/>
                <w:szCs w:val="18"/>
              </w:rPr>
              <w:tab/>
            </w:r>
            <w:r w:rsidRPr="00BC26FD">
              <w:rPr>
                <w:webHidden/>
                <w:sz w:val="18"/>
                <w:szCs w:val="18"/>
              </w:rPr>
              <w:fldChar w:fldCharType="begin"/>
            </w:r>
            <w:r w:rsidRPr="00BC26FD">
              <w:rPr>
                <w:webHidden/>
                <w:sz w:val="18"/>
                <w:szCs w:val="18"/>
              </w:rPr>
              <w:instrText xml:space="preserve"> PAGEREF _Toc240375148 \h </w:instrText>
            </w:r>
            <w:r w:rsidRPr="00BC26FD">
              <w:rPr>
                <w:webHidden/>
                <w:sz w:val="18"/>
                <w:szCs w:val="18"/>
              </w:rPr>
            </w:r>
            <w:r w:rsidRPr="00BC26FD">
              <w:rPr>
                <w:webHidden/>
                <w:sz w:val="18"/>
                <w:szCs w:val="18"/>
              </w:rPr>
              <w:fldChar w:fldCharType="separate"/>
            </w:r>
            <w:r w:rsidR="005620E4">
              <w:rPr>
                <w:webHidden/>
                <w:sz w:val="18"/>
                <w:szCs w:val="18"/>
              </w:rPr>
              <w:t>20</w:t>
            </w:r>
            <w:r w:rsidRPr="00BC26FD">
              <w:rPr>
                <w:webHidden/>
                <w:sz w:val="18"/>
                <w:szCs w:val="18"/>
              </w:rPr>
              <w:fldChar w:fldCharType="end"/>
            </w:r>
          </w:hyperlink>
        </w:p>
        <w:p w14:paraId="6890B4C0" w14:textId="752EB15A" w:rsidR="00B74F46" w:rsidRPr="00BC26FD" w:rsidRDefault="00B74F46" w:rsidP="00BC26FD">
          <w:pPr>
            <w:pStyle w:val="Sommario2"/>
            <w:spacing w:line="240" w:lineRule="auto"/>
            <w:rPr>
              <w:rFonts w:asciiTheme="minorHAnsi" w:eastAsiaTheme="minorEastAsia" w:hAnsiTheme="minorHAnsi"/>
              <w:sz w:val="22"/>
              <w:szCs w:val="22"/>
              <w:lang w:eastAsia="it-IT"/>
            </w:rPr>
          </w:pPr>
          <w:hyperlink w:anchor="_Toc240375149" w:history="1">
            <w:r w:rsidRPr="00BC26FD">
              <w:rPr>
                <w:rStyle w:val="Collegamentoipertestuale"/>
                <w:sz w:val="18"/>
                <w:szCs w:val="18"/>
              </w:rPr>
              <w:t>Norme finali</w:t>
            </w:r>
            <w:r w:rsidRPr="00BC26FD">
              <w:rPr>
                <w:webHidden/>
                <w:sz w:val="18"/>
                <w:szCs w:val="18"/>
              </w:rPr>
              <w:tab/>
            </w:r>
            <w:r w:rsidRPr="00BC26FD">
              <w:rPr>
                <w:webHidden/>
                <w:sz w:val="18"/>
                <w:szCs w:val="18"/>
              </w:rPr>
              <w:fldChar w:fldCharType="begin"/>
            </w:r>
            <w:r w:rsidRPr="00BC26FD">
              <w:rPr>
                <w:webHidden/>
                <w:sz w:val="18"/>
                <w:szCs w:val="18"/>
              </w:rPr>
              <w:instrText xml:space="preserve"> PAGEREF _Toc240375149 \h </w:instrText>
            </w:r>
            <w:r w:rsidRPr="00BC26FD">
              <w:rPr>
                <w:webHidden/>
                <w:sz w:val="18"/>
                <w:szCs w:val="18"/>
              </w:rPr>
            </w:r>
            <w:r w:rsidRPr="00BC26FD">
              <w:rPr>
                <w:webHidden/>
                <w:sz w:val="18"/>
                <w:szCs w:val="18"/>
              </w:rPr>
              <w:fldChar w:fldCharType="separate"/>
            </w:r>
            <w:r w:rsidR="005620E4">
              <w:rPr>
                <w:webHidden/>
                <w:sz w:val="18"/>
                <w:szCs w:val="18"/>
              </w:rPr>
              <w:t>21</w:t>
            </w:r>
            <w:r w:rsidRPr="00BC26FD">
              <w:rPr>
                <w:webHidden/>
                <w:sz w:val="18"/>
                <w:szCs w:val="18"/>
              </w:rPr>
              <w:fldChar w:fldCharType="end"/>
            </w:r>
          </w:hyperlink>
        </w:p>
        <w:p w14:paraId="12732097" w14:textId="1663A687" w:rsidR="00B74F46" w:rsidRPr="00BC26FD" w:rsidRDefault="00B74F46" w:rsidP="00BC26FD">
          <w:pPr>
            <w:pStyle w:val="Sommario2"/>
            <w:spacing w:line="240" w:lineRule="auto"/>
            <w:ind w:left="284"/>
            <w:rPr>
              <w:rFonts w:asciiTheme="minorHAnsi" w:eastAsiaTheme="minorEastAsia" w:hAnsiTheme="minorHAnsi"/>
              <w:sz w:val="22"/>
              <w:szCs w:val="22"/>
              <w:lang w:eastAsia="it-IT"/>
            </w:rPr>
          </w:pPr>
          <w:hyperlink w:anchor="_Toc240375150" w:history="1">
            <w:r w:rsidRPr="00BC26FD">
              <w:rPr>
                <w:rStyle w:val="Collegamentoipertestuale"/>
                <w:sz w:val="18"/>
                <w:szCs w:val="18"/>
              </w:rPr>
              <w:t>Articolo 37 – Clausola di salvaguardia</w:t>
            </w:r>
            <w:r w:rsidRPr="00BC26FD">
              <w:rPr>
                <w:webHidden/>
                <w:sz w:val="18"/>
                <w:szCs w:val="18"/>
              </w:rPr>
              <w:tab/>
            </w:r>
            <w:r w:rsidRPr="00BC26FD">
              <w:rPr>
                <w:webHidden/>
                <w:sz w:val="18"/>
                <w:szCs w:val="18"/>
              </w:rPr>
              <w:fldChar w:fldCharType="begin"/>
            </w:r>
            <w:r w:rsidRPr="00BC26FD">
              <w:rPr>
                <w:webHidden/>
                <w:sz w:val="18"/>
                <w:szCs w:val="18"/>
              </w:rPr>
              <w:instrText xml:space="preserve"> PAGEREF _Toc240375150 \h </w:instrText>
            </w:r>
            <w:r w:rsidRPr="00BC26FD">
              <w:rPr>
                <w:webHidden/>
                <w:sz w:val="18"/>
                <w:szCs w:val="18"/>
              </w:rPr>
            </w:r>
            <w:r w:rsidRPr="00BC26FD">
              <w:rPr>
                <w:webHidden/>
                <w:sz w:val="18"/>
                <w:szCs w:val="18"/>
              </w:rPr>
              <w:fldChar w:fldCharType="separate"/>
            </w:r>
            <w:r w:rsidR="005620E4">
              <w:rPr>
                <w:webHidden/>
                <w:sz w:val="18"/>
                <w:szCs w:val="18"/>
              </w:rPr>
              <w:t>21</w:t>
            </w:r>
            <w:r w:rsidRPr="00BC26FD">
              <w:rPr>
                <w:webHidden/>
                <w:sz w:val="18"/>
                <w:szCs w:val="18"/>
              </w:rPr>
              <w:fldChar w:fldCharType="end"/>
            </w:r>
          </w:hyperlink>
        </w:p>
        <w:p w14:paraId="65B5F77A" w14:textId="07F8382D" w:rsidR="00B74F46" w:rsidRPr="00BC26FD" w:rsidRDefault="00B74F46" w:rsidP="00BC26FD">
          <w:pPr>
            <w:pStyle w:val="Sommario2"/>
            <w:spacing w:line="240" w:lineRule="auto"/>
            <w:ind w:left="284"/>
            <w:rPr>
              <w:rFonts w:asciiTheme="minorHAnsi" w:eastAsiaTheme="minorEastAsia" w:hAnsiTheme="minorHAnsi"/>
              <w:sz w:val="22"/>
              <w:szCs w:val="22"/>
              <w:lang w:eastAsia="it-IT"/>
            </w:rPr>
          </w:pPr>
          <w:hyperlink w:anchor="_Toc240375151" w:history="1">
            <w:r w:rsidRPr="00BC26FD">
              <w:rPr>
                <w:rStyle w:val="Collegamentoipertestuale"/>
                <w:sz w:val="18"/>
                <w:szCs w:val="18"/>
              </w:rPr>
              <w:t>Articolo 38 – Disposizioni finanziarie</w:t>
            </w:r>
            <w:r w:rsidRPr="00BC26FD">
              <w:rPr>
                <w:webHidden/>
                <w:sz w:val="18"/>
                <w:szCs w:val="18"/>
              </w:rPr>
              <w:tab/>
            </w:r>
            <w:r w:rsidRPr="00BC26FD">
              <w:rPr>
                <w:webHidden/>
                <w:sz w:val="18"/>
                <w:szCs w:val="18"/>
              </w:rPr>
              <w:fldChar w:fldCharType="begin"/>
            </w:r>
            <w:r w:rsidRPr="00BC26FD">
              <w:rPr>
                <w:webHidden/>
                <w:sz w:val="18"/>
                <w:szCs w:val="18"/>
              </w:rPr>
              <w:instrText xml:space="preserve"> PAGEREF _Toc240375151 \h </w:instrText>
            </w:r>
            <w:r w:rsidRPr="00BC26FD">
              <w:rPr>
                <w:webHidden/>
                <w:sz w:val="18"/>
                <w:szCs w:val="18"/>
              </w:rPr>
            </w:r>
            <w:r w:rsidRPr="00BC26FD">
              <w:rPr>
                <w:webHidden/>
                <w:sz w:val="18"/>
                <w:szCs w:val="18"/>
              </w:rPr>
              <w:fldChar w:fldCharType="separate"/>
            </w:r>
            <w:r w:rsidR="005620E4">
              <w:rPr>
                <w:webHidden/>
                <w:sz w:val="18"/>
                <w:szCs w:val="18"/>
              </w:rPr>
              <w:t>21</w:t>
            </w:r>
            <w:r w:rsidRPr="00BC26FD">
              <w:rPr>
                <w:webHidden/>
                <w:sz w:val="18"/>
                <w:szCs w:val="18"/>
              </w:rPr>
              <w:fldChar w:fldCharType="end"/>
            </w:r>
          </w:hyperlink>
        </w:p>
        <w:p w14:paraId="10E3ED1F" w14:textId="588FD37D" w:rsidR="00B74F46" w:rsidRPr="00BC26FD" w:rsidRDefault="00B74F46" w:rsidP="00BC26FD">
          <w:pPr>
            <w:pStyle w:val="Sommario2"/>
            <w:spacing w:line="240" w:lineRule="auto"/>
            <w:ind w:left="284"/>
            <w:rPr>
              <w:rFonts w:asciiTheme="minorHAnsi" w:eastAsiaTheme="minorEastAsia" w:hAnsiTheme="minorHAnsi"/>
              <w:sz w:val="22"/>
              <w:szCs w:val="22"/>
              <w:lang w:eastAsia="it-IT"/>
            </w:rPr>
          </w:pPr>
          <w:hyperlink w:anchor="_Toc240375152" w:history="1">
            <w:r w:rsidRPr="00BC26FD">
              <w:rPr>
                <w:rStyle w:val="Collegamentoipertestuale"/>
                <w:sz w:val="18"/>
                <w:szCs w:val="18"/>
              </w:rPr>
              <w:t>Articolo 39 – Entrata in vigore</w:t>
            </w:r>
            <w:r w:rsidRPr="00BC26FD">
              <w:rPr>
                <w:webHidden/>
                <w:sz w:val="18"/>
                <w:szCs w:val="18"/>
              </w:rPr>
              <w:tab/>
            </w:r>
            <w:r w:rsidRPr="00BC26FD">
              <w:rPr>
                <w:webHidden/>
                <w:sz w:val="18"/>
                <w:szCs w:val="18"/>
              </w:rPr>
              <w:fldChar w:fldCharType="begin"/>
            </w:r>
            <w:r w:rsidRPr="00BC26FD">
              <w:rPr>
                <w:webHidden/>
                <w:sz w:val="18"/>
                <w:szCs w:val="18"/>
              </w:rPr>
              <w:instrText xml:space="preserve"> PAGEREF _Toc240375152 \h </w:instrText>
            </w:r>
            <w:r w:rsidRPr="00BC26FD">
              <w:rPr>
                <w:webHidden/>
                <w:sz w:val="18"/>
                <w:szCs w:val="18"/>
              </w:rPr>
            </w:r>
            <w:r w:rsidRPr="00BC26FD">
              <w:rPr>
                <w:webHidden/>
                <w:sz w:val="18"/>
                <w:szCs w:val="18"/>
              </w:rPr>
              <w:fldChar w:fldCharType="separate"/>
            </w:r>
            <w:r w:rsidR="005620E4">
              <w:rPr>
                <w:webHidden/>
                <w:sz w:val="18"/>
                <w:szCs w:val="18"/>
              </w:rPr>
              <w:t>21</w:t>
            </w:r>
            <w:r w:rsidRPr="00BC26FD">
              <w:rPr>
                <w:webHidden/>
                <w:sz w:val="18"/>
                <w:szCs w:val="18"/>
              </w:rPr>
              <w:fldChar w:fldCharType="end"/>
            </w:r>
          </w:hyperlink>
        </w:p>
        <w:p w14:paraId="436E9133" w14:textId="580F9164" w:rsidR="00CE758A" w:rsidRDefault="00CE758A" w:rsidP="00B94CAC">
          <w:pPr>
            <w:spacing w:after="40" w:line="240" w:lineRule="auto"/>
            <w:rPr>
              <w:rFonts w:ascii="Bookman Old Style" w:hAnsi="Bookman Old Style"/>
              <w:sz w:val="22"/>
              <w:szCs w:val="22"/>
            </w:rPr>
          </w:pPr>
          <w:r w:rsidRPr="00BC26FD">
            <w:rPr>
              <w:sz w:val="12"/>
              <w:szCs w:val="12"/>
            </w:rPr>
            <w:fldChar w:fldCharType="end"/>
          </w:r>
        </w:p>
      </w:sdtContent>
    </w:sdt>
    <w:p w14:paraId="546C8CAA" w14:textId="77777777" w:rsidR="00C679FE" w:rsidRDefault="00C679FE" w:rsidP="00EA1836">
      <w:pPr>
        <w:jc w:val="both"/>
        <w:rPr>
          <w:rFonts w:ascii="Bookman Old Style" w:hAnsi="Bookman Old Style"/>
          <w:sz w:val="22"/>
          <w:szCs w:val="22"/>
        </w:rPr>
      </w:pPr>
    </w:p>
    <w:p w14:paraId="0AA9DEBB" w14:textId="77777777" w:rsidR="00C679FE" w:rsidRPr="00CE758A" w:rsidRDefault="00C679FE" w:rsidP="00EA1836">
      <w:pPr>
        <w:jc w:val="both"/>
        <w:rPr>
          <w:rFonts w:ascii="Bookman Old Style" w:hAnsi="Bookman Old Style"/>
          <w:sz w:val="22"/>
          <w:szCs w:val="22"/>
        </w:rPr>
      </w:pPr>
    </w:p>
    <w:p w14:paraId="5E5F81B0" w14:textId="77777777" w:rsidR="00EA1836" w:rsidRPr="00E9741F" w:rsidRDefault="00EA1836" w:rsidP="00E9741F">
      <w:pPr>
        <w:pStyle w:val="Titolo2"/>
        <w:rPr>
          <w:rFonts w:ascii="Bookman Old Style" w:hAnsi="Bookman Old Style"/>
          <w:b/>
          <w:bCs/>
          <w:sz w:val="22"/>
          <w:szCs w:val="22"/>
        </w:rPr>
      </w:pPr>
      <w:bookmarkStart w:id="0" w:name="_Toc240375107"/>
      <w:r w:rsidRPr="00E9741F">
        <w:rPr>
          <w:rFonts w:ascii="Bookman Old Style" w:hAnsi="Bookman Old Style"/>
          <w:b/>
          <w:bCs/>
          <w:sz w:val="22"/>
          <w:szCs w:val="22"/>
        </w:rPr>
        <w:t>Premessa</w:t>
      </w:r>
      <w:bookmarkEnd w:id="0"/>
    </w:p>
    <w:p w14:paraId="10FF3666" w14:textId="4CABBC75" w:rsidR="00EA1836" w:rsidRPr="00EA1836" w:rsidRDefault="00F51F16" w:rsidP="00EA1836">
      <w:pPr>
        <w:jc w:val="both"/>
        <w:rPr>
          <w:rFonts w:ascii="Bookman Old Style" w:hAnsi="Bookman Old Style"/>
          <w:sz w:val="22"/>
          <w:szCs w:val="22"/>
        </w:rPr>
      </w:pPr>
      <w:r>
        <w:rPr>
          <w:rFonts w:ascii="Bookman Old Style" w:hAnsi="Bookman Old Style"/>
          <w:sz w:val="22"/>
          <w:szCs w:val="22"/>
        </w:rPr>
        <w:t>Il</w:t>
      </w:r>
      <w:r w:rsidR="00EA1836" w:rsidRPr="00EA1836">
        <w:rPr>
          <w:rFonts w:ascii="Bookman Old Style" w:hAnsi="Bookman Old Style"/>
          <w:sz w:val="22"/>
          <w:szCs w:val="22"/>
        </w:rPr>
        <w:t xml:space="preserve"> decreto </w:t>
      </w:r>
      <w:r>
        <w:rPr>
          <w:rFonts w:ascii="Bookman Old Style" w:hAnsi="Bookman Old Style"/>
          <w:sz w:val="22"/>
          <w:szCs w:val="22"/>
        </w:rPr>
        <w:t xml:space="preserve">legislativo </w:t>
      </w:r>
      <w:r w:rsidR="00EA5EFC">
        <w:rPr>
          <w:rFonts w:ascii="Bookman Old Style" w:hAnsi="Bookman Old Style"/>
          <w:sz w:val="22"/>
          <w:szCs w:val="22"/>
        </w:rPr>
        <w:t xml:space="preserve">n.147 del 7 agosto 2026 </w:t>
      </w:r>
      <w:r w:rsidR="00EA1836" w:rsidRPr="00EA1836">
        <w:rPr>
          <w:rFonts w:ascii="Bookman Old Style" w:hAnsi="Bookman Old Style"/>
          <w:sz w:val="22"/>
          <w:szCs w:val="22"/>
        </w:rPr>
        <w:t xml:space="preserve">costituisce uno dei principali provvedimenti attuativi della delega fiscale (legge n. 111/2023, come modificata dalla legge n. 120/2025) relativamente al riordino dei tributi regionali e locali e all'attuazione del federalismo fiscale. Il testo interviene sia sulla disciplina generale del rapporto tributario sia sulle singole entrate regionali e comunali, introducendo numerose modifiche organizzative e procedurali che incidono direttamente sull'attività degli enti territoriali. </w:t>
      </w:r>
    </w:p>
    <w:p w14:paraId="505DA4EA" w14:textId="69FB62A9" w:rsidR="00BD017B" w:rsidRPr="00BD017B" w:rsidRDefault="00EC45A0" w:rsidP="00BD017B">
      <w:pPr>
        <w:jc w:val="both"/>
        <w:rPr>
          <w:rFonts w:ascii="Bookman Old Style" w:hAnsi="Bookman Old Style"/>
          <w:sz w:val="22"/>
          <w:szCs w:val="22"/>
        </w:rPr>
      </w:pPr>
      <w:r>
        <w:rPr>
          <w:rFonts w:ascii="Bookman Old Style" w:hAnsi="Bookman Old Style"/>
          <w:sz w:val="22"/>
          <w:szCs w:val="22"/>
        </w:rPr>
        <w:t>N</w:t>
      </w:r>
      <w:r w:rsidR="00BD017B">
        <w:rPr>
          <w:rFonts w:ascii="Bookman Old Style" w:hAnsi="Bookman Old Style"/>
          <w:sz w:val="22"/>
          <w:szCs w:val="22"/>
        </w:rPr>
        <w:t>e</w:t>
      </w:r>
      <w:r>
        <w:rPr>
          <w:rFonts w:ascii="Bookman Old Style" w:hAnsi="Bookman Old Style"/>
          <w:sz w:val="22"/>
          <w:szCs w:val="22"/>
        </w:rPr>
        <w:t xml:space="preserve">lla seduta della Conferenza Unificata del 28 luglio 2026 </w:t>
      </w:r>
      <w:r w:rsidRPr="00EC45A0">
        <w:rPr>
          <w:rFonts w:ascii="Bookman Old Style" w:hAnsi="Bookman Old Style"/>
          <w:b/>
          <w:bCs/>
          <w:sz w:val="22"/>
          <w:szCs w:val="22"/>
        </w:rPr>
        <w:t>l’ANCI ha espresso mancata intesa</w:t>
      </w:r>
      <w:r>
        <w:rPr>
          <w:rFonts w:ascii="Bookman Old Style" w:hAnsi="Bookman Old Style"/>
          <w:b/>
          <w:bCs/>
          <w:sz w:val="22"/>
          <w:szCs w:val="22"/>
        </w:rPr>
        <w:t xml:space="preserve">. </w:t>
      </w:r>
      <w:r w:rsidR="00BD017B" w:rsidRPr="00BD017B">
        <w:rPr>
          <w:rFonts w:ascii="Bookman Old Style" w:hAnsi="Bookman Old Style"/>
          <w:sz w:val="22"/>
          <w:szCs w:val="22"/>
        </w:rPr>
        <w:t xml:space="preserve">Lo schema di decreto attuativo della Delega fiscale relativo alla fiscalità degli enti territoriali (art. 14 della Delega) </w:t>
      </w:r>
      <w:r w:rsidR="00071782">
        <w:rPr>
          <w:rFonts w:ascii="Bookman Old Style" w:hAnsi="Bookman Old Style"/>
          <w:sz w:val="22"/>
          <w:szCs w:val="22"/>
        </w:rPr>
        <w:t>era</w:t>
      </w:r>
      <w:r w:rsidR="00BD017B" w:rsidRPr="00BD017B">
        <w:rPr>
          <w:rFonts w:ascii="Bookman Old Style" w:hAnsi="Bookman Old Style"/>
          <w:sz w:val="22"/>
          <w:szCs w:val="22"/>
        </w:rPr>
        <w:t xml:space="preserve"> stato portato all’esame della Conferenza unificata già lo scorso anno, a seguito di un confronto durato alcuni mesi. </w:t>
      </w:r>
    </w:p>
    <w:p w14:paraId="338C8F8F" w14:textId="0DBE90B3" w:rsidR="00BD017B" w:rsidRPr="00BD017B" w:rsidRDefault="00BD017B" w:rsidP="00BD017B">
      <w:pPr>
        <w:jc w:val="both"/>
        <w:rPr>
          <w:rFonts w:ascii="Bookman Old Style" w:hAnsi="Bookman Old Style"/>
          <w:sz w:val="22"/>
          <w:szCs w:val="22"/>
        </w:rPr>
      </w:pPr>
      <w:r w:rsidRPr="00BD017B">
        <w:rPr>
          <w:rFonts w:ascii="Bookman Old Style" w:hAnsi="Bookman Old Style"/>
          <w:sz w:val="22"/>
          <w:szCs w:val="22"/>
        </w:rPr>
        <w:t xml:space="preserve">L’ANCI aveva in quell’occasione rilevato la povertà di contenuti dello schema rispetto al riassetto della fiscalità comunale su basi di autonomia e manovrabilità, l’insufficienza delle pur positive previsioni relative alle Città metropolitane e profonda preoccupazione per l’ipotesi di “fiscalizzazione” di fondi nazionali destinati alle Regioni ma diretti al finanziamento di funzioni fondamentali in materia scolastica e di trasporto pubblico locale. Tali fondi per un valore </w:t>
      </w:r>
      <w:r w:rsidR="008B143A">
        <w:rPr>
          <w:rFonts w:ascii="Bookman Old Style" w:hAnsi="Bookman Old Style"/>
          <w:sz w:val="22"/>
          <w:szCs w:val="22"/>
        </w:rPr>
        <w:t xml:space="preserve">pari a oltre </w:t>
      </w:r>
      <w:r w:rsidRPr="00BD017B">
        <w:rPr>
          <w:rFonts w:ascii="Bookman Old Style" w:hAnsi="Bookman Old Style"/>
          <w:sz w:val="22"/>
          <w:szCs w:val="22"/>
        </w:rPr>
        <w:t xml:space="preserve">5 mld. di euro sarebbero stati assorbiti da una compartecipazione regionale di pari importo, per sua natura senza alcun vincolo di destinazione, e quindi esposti a decisioni di ciascuna singola regione. </w:t>
      </w:r>
    </w:p>
    <w:p w14:paraId="326C1FAA" w14:textId="75454A81" w:rsidR="00BD017B" w:rsidRPr="00BD017B" w:rsidRDefault="00BD017B" w:rsidP="00BD017B">
      <w:pPr>
        <w:jc w:val="both"/>
        <w:rPr>
          <w:rFonts w:ascii="Bookman Old Style" w:hAnsi="Bookman Old Style"/>
          <w:sz w:val="22"/>
          <w:szCs w:val="22"/>
        </w:rPr>
      </w:pPr>
      <w:r w:rsidRPr="00BD017B">
        <w:rPr>
          <w:rFonts w:ascii="Bookman Old Style" w:hAnsi="Bookman Old Style"/>
          <w:sz w:val="22"/>
          <w:szCs w:val="22"/>
        </w:rPr>
        <w:t xml:space="preserve">La configurazione </w:t>
      </w:r>
      <w:r w:rsidR="00EA5EFC">
        <w:rPr>
          <w:rFonts w:ascii="Bookman Old Style" w:hAnsi="Bookman Old Style"/>
          <w:sz w:val="22"/>
          <w:szCs w:val="22"/>
        </w:rPr>
        <w:t>del</w:t>
      </w:r>
      <w:r w:rsidRPr="00BD017B">
        <w:rPr>
          <w:rFonts w:ascii="Bookman Old Style" w:hAnsi="Bookman Old Style"/>
          <w:sz w:val="22"/>
          <w:szCs w:val="22"/>
        </w:rPr>
        <w:t xml:space="preserve"> decreto non è nella sostanza cambiata, anche a seguito dell’accelerazione cui </w:t>
      </w:r>
      <w:r w:rsidR="00071782">
        <w:rPr>
          <w:rFonts w:ascii="Bookman Old Style" w:hAnsi="Bookman Old Style"/>
          <w:sz w:val="22"/>
          <w:szCs w:val="22"/>
        </w:rPr>
        <w:t>si è assistito prima de</w:t>
      </w:r>
      <w:r w:rsidR="00554256">
        <w:rPr>
          <w:rFonts w:ascii="Bookman Old Style" w:hAnsi="Bookman Old Style"/>
          <w:sz w:val="22"/>
          <w:szCs w:val="22"/>
        </w:rPr>
        <w:t>lla sottoposizione dello schema alla Conferenza Unificata</w:t>
      </w:r>
      <w:r w:rsidRPr="00BD017B">
        <w:rPr>
          <w:rFonts w:ascii="Bookman Old Style" w:hAnsi="Bookman Old Style"/>
          <w:sz w:val="22"/>
          <w:szCs w:val="22"/>
        </w:rPr>
        <w:t>:</w:t>
      </w:r>
    </w:p>
    <w:p w14:paraId="790797DE" w14:textId="2EA6DB57" w:rsidR="00BD017B" w:rsidRPr="00BD017B" w:rsidRDefault="00BD017B" w:rsidP="00BD017B">
      <w:pPr>
        <w:numPr>
          <w:ilvl w:val="0"/>
          <w:numId w:val="1"/>
        </w:numPr>
        <w:jc w:val="both"/>
        <w:rPr>
          <w:rFonts w:ascii="Bookman Old Style" w:hAnsi="Bookman Old Style"/>
          <w:sz w:val="22"/>
          <w:szCs w:val="22"/>
        </w:rPr>
      </w:pPr>
      <w:r w:rsidRPr="00BD017B">
        <w:rPr>
          <w:rFonts w:ascii="Bookman Old Style" w:hAnsi="Bookman Old Style"/>
          <w:sz w:val="22"/>
          <w:szCs w:val="22"/>
        </w:rPr>
        <w:t xml:space="preserve">sono state recepite alcune proposte Anci di carattere ordinamentale ed interpretativo, in larga parte “dovute” per l’evoluzione normativa e giurisprudenziale intervenuta: transazioni fiscali </w:t>
      </w:r>
      <w:r w:rsidR="0013159B">
        <w:rPr>
          <w:rFonts w:ascii="Bookman Old Style" w:hAnsi="Bookman Old Style"/>
          <w:sz w:val="22"/>
          <w:szCs w:val="22"/>
        </w:rPr>
        <w:t xml:space="preserve">in caso di </w:t>
      </w:r>
      <w:r w:rsidR="00E52634">
        <w:rPr>
          <w:rFonts w:ascii="Bookman Old Style" w:hAnsi="Bookman Old Style"/>
          <w:sz w:val="22"/>
          <w:szCs w:val="22"/>
        </w:rPr>
        <w:t>“</w:t>
      </w:r>
      <w:r w:rsidR="0013159B">
        <w:rPr>
          <w:rFonts w:ascii="Bookman Old Style" w:hAnsi="Bookman Old Style"/>
          <w:sz w:val="22"/>
          <w:szCs w:val="22"/>
        </w:rPr>
        <w:t xml:space="preserve">crisi </w:t>
      </w:r>
      <w:r w:rsidR="00E52634">
        <w:rPr>
          <w:rFonts w:ascii="Bookman Old Style" w:hAnsi="Bookman Old Style"/>
          <w:sz w:val="22"/>
          <w:szCs w:val="22"/>
        </w:rPr>
        <w:t xml:space="preserve">d’impresa” </w:t>
      </w:r>
      <w:r w:rsidRPr="00BD017B">
        <w:rPr>
          <w:rFonts w:ascii="Bookman Old Style" w:hAnsi="Bookman Old Style"/>
          <w:sz w:val="22"/>
          <w:szCs w:val="22"/>
        </w:rPr>
        <w:t>applicabili anche ai tributi locali, interventi sul Canone unico patrimoniale, definito “tributo” da una recente sentenza della Cassazione</w:t>
      </w:r>
      <w:r w:rsidR="00554256">
        <w:rPr>
          <w:rFonts w:ascii="Bookman Old Style" w:hAnsi="Bookman Old Style"/>
          <w:sz w:val="22"/>
          <w:szCs w:val="22"/>
        </w:rPr>
        <w:t xml:space="preserve">, </w:t>
      </w:r>
      <w:r w:rsidR="00E52634">
        <w:rPr>
          <w:rFonts w:ascii="Bookman Old Style" w:hAnsi="Bookman Old Style"/>
          <w:sz w:val="22"/>
          <w:szCs w:val="22"/>
        </w:rPr>
        <w:t xml:space="preserve">mentre </w:t>
      </w:r>
      <w:r w:rsidR="00554256">
        <w:rPr>
          <w:rFonts w:ascii="Bookman Old Style" w:hAnsi="Bookman Old Style"/>
          <w:sz w:val="22"/>
          <w:szCs w:val="22"/>
        </w:rPr>
        <w:t xml:space="preserve">altre di importanza fondamentale per la gestione dei Comuni </w:t>
      </w:r>
      <w:r w:rsidR="005D1765">
        <w:rPr>
          <w:rFonts w:ascii="Bookman Old Style" w:hAnsi="Bookman Old Style"/>
          <w:sz w:val="22"/>
          <w:szCs w:val="22"/>
        </w:rPr>
        <w:t xml:space="preserve">risultano non accolte (incentivi al personale dei Comuni dedicato alla riscossione delle entrate, mantenimento della quota fissa TARI per le attività che </w:t>
      </w:r>
      <w:r w:rsidR="00B45028">
        <w:rPr>
          <w:rFonts w:ascii="Bookman Old Style" w:hAnsi="Bookman Old Style"/>
          <w:sz w:val="22"/>
          <w:szCs w:val="22"/>
        </w:rPr>
        <w:t>producono rifiuti speciali</w:t>
      </w:r>
      <w:r w:rsidR="00962383">
        <w:rPr>
          <w:rFonts w:ascii="Bookman Old Style" w:hAnsi="Bookman Old Style"/>
          <w:sz w:val="22"/>
          <w:szCs w:val="22"/>
        </w:rPr>
        <w:t xml:space="preserve"> in coerenza con ripetute pronunce della Cassazione</w:t>
      </w:r>
      <w:r w:rsidR="00B45028">
        <w:rPr>
          <w:rFonts w:ascii="Bookman Old Style" w:hAnsi="Bookman Old Style"/>
          <w:sz w:val="22"/>
          <w:szCs w:val="22"/>
        </w:rPr>
        <w:t xml:space="preserve"> ecc.)</w:t>
      </w:r>
      <w:r w:rsidR="00D461ED">
        <w:rPr>
          <w:rFonts w:ascii="Bookman Old Style" w:hAnsi="Bookman Old Style"/>
          <w:sz w:val="22"/>
          <w:szCs w:val="22"/>
        </w:rPr>
        <w:t>;</w:t>
      </w:r>
    </w:p>
    <w:p w14:paraId="335A1B0E" w14:textId="40C315C1" w:rsidR="00BD017B" w:rsidRPr="00BD017B" w:rsidRDefault="00BD017B" w:rsidP="00BD017B">
      <w:pPr>
        <w:numPr>
          <w:ilvl w:val="0"/>
          <w:numId w:val="1"/>
        </w:numPr>
        <w:jc w:val="both"/>
        <w:rPr>
          <w:rFonts w:ascii="Bookman Old Style" w:hAnsi="Bookman Old Style"/>
          <w:sz w:val="22"/>
          <w:szCs w:val="22"/>
        </w:rPr>
      </w:pPr>
      <w:r w:rsidRPr="00BD017B">
        <w:rPr>
          <w:rFonts w:ascii="Bookman Old Style" w:hAnsi="Bookman Old Style"/>
          <w:sz w:val="22"/>
          <w:szCs w:val="22"/>
        </w:rPr>
        <w:t>resta il diniego sulla introduzione di una compartecipazione comunale all’IRPEF, in evidente attrito con l’esplicita previsione dell’art. 119 della Costituzione</w:t>
      </w:r>
      <w:r w:rsidR="00D461ED">
        <w:rPr>
          <w:rFonts w:ascii="Bookman Old Style" w:hAnsi="Bookman Old Style"/>
          <w:sz w:val="22"/>
          <w:szCs w:val="22"/>
        </w:rPr>
        <w:t>;</w:t>
      </w:r>
    </w:p>
    <w:p w14:paraId="22CCC839" w14:textId="070241B0" w:rsidR="00BD017B" w:rsidRPr="00BD017B" w:rsidRDefault="00BD017B" w:rsidP="00BD017B">
      <w:pPr>
        <w:numPr>
          <w:ilvl w:val="0"/>
          <w:numId w:val="1"/>
        </w:numPr>
        <w:jc w:val="both"/>
        <w:rPr>
          <w:rFonts w:ascii="Bookman Old Style" w:hAnsi="Bookman Old Style"/>
          <w:sz w:val="22"/>
          <w:szCs w:val="22"/>
        </w:rPr>
      </w:pPr>
      <w:r w:rsidRPr="00BD017B">
        <w:rPr>
          <w:rFonts w:ascii="Bookman Old Style" w:hAnsi="Bookman Old Style"/>
          <w:sz w:val="22"/>
          <w:szCs w:val="22"/>
        </w:rPr>
        <w:t xml:space="preserve">la “fiscalizzazione” dei trasferimenti alle Regioni che finanziano strutturalmente funzioni </w:t>
      </w:r>
      <w:r w:rsidR="00EA43B8">
        <w:rPr>
          <w:rFonts w:ascii="Bookman Old Style" w:hAnsi="Bookman Old Style"/>
          <w:sz w:val="22"/>
          <w:szCs w:val="22"/>
        </w:rPr>
        <w:t xml:space="preserve">fondamentali dei Comuni </w:t>
      </w:r>
      <w:r w:rsidRPr="00BD017B">
        <w:rPr>
          <w:rFonts w:ascii="Bookman Old Style" w:hAnsi="Bookman Old Style"/>
          <w:sz w:val="22"/>
          <w:szCs w:val="22"/>
        </w:rPr>
        <w:t>è articolata in due fasi: immediata per i fondi TPL (circa 5 mld. di euro), rimandata al 2028 per i fondi sociali e scuola</w:t>
      </w:r>
      <w:r w:rsidR="00BE7769">
        <w:rPr>
          <w:rFonts w:ascii="Bookman Old Style" w:hAnsi="Bookman Old Style"/>
          <w:sz w:val="22"/>
          <w:szCs w:val="22"/>
        </w:rPr>
        <w:t>.</w:t>
      </w:r>
    </w:p>
    <w:p w14:paraId="53B287C5" w14:textId="249D86CC" w:rsidR="00BD017B" w:rsidRPr="00BD017B" w:rsidRDefault="00BD017B" w:rsidP="00BD017B">
      <w:pPr>
        <w:jc w:val="both"/>
        <w:rPr>
          <w:rFonts w:ascii="Bookman Old Style" w:hAnsi="Bookman Old Style"/>
          <w:sz w:val="22"/>
          <w:szCs w:val="22"/>
        </w:rPr>
      </w:pPr>
      <w:r w:rsidRPr="00BD017B">
        <w:rPr>
          <w:rFonts w:ascii="Bookman Old Style" w:hAnsi="Bookman Old Style"/>
          <w:sz w:val="22"/>
          <w:szCs w:val="22"/>
        </w:rPr>
        <w:t xml:space="preserve">Nel complesso, dunque, restano irrisolte questioni </w:t>
      </w:r>
      <w:r w:rsidR="00BE7769">
        <w:rPr>
          <w:rFonts w:ascii="Bookman Old Style" w:hAnsi="Bookman Old Style"/>
          <w:sz w:val="22"/>
          <w:szCs w:val="22"/>
        </w:rPr>
        <w:t>di primaria importanza</w:t>
      </w:r>
      <w:r w:rsidRPr="00BD017B">
        <w:rPr>
          <w:rFonts w:ascii="Bookman Old Style" w:hAnsi="Bookman Old Style"/>
          <w:sz w:val="22"/>
          <w:szCs w:val="22"/>
        </w:rPr>
        <w:t>.</w:t>
      </w:r>
      <w:r w:rsidR="0065036F">
        <w:rPr>
          <w:rFonts w:ascii="Bookman Old Style" w:hAnsi="Bookman Old Style"/>
          <w:sz w:val="22"/>
          <w:szCs w:val="22"/>
        </w:rPr>
        <w:t xml:space="preserve"> </w:t>
      </w:r>
      <w:r w:rsidRPr="00BD017B">
        <w:rPr>
          <w:rFonts w:ascii="Bookman Old Style" w:hAnsi="Bookman Old Style"/>
          <w:sz w:val="22"/>
          <w:szCs w:val="22"/>
        </w:rPr>
        <w:t>In particolare</w:t>
      </w:r>
      <w:r w:rsidR="007501D1">
        <w:rPr>
          <w:rFonts w:ascii="Bookman Old Style" w:hAnsi="Bookman Old Style"/>
          <w:sz w:val="22"/>
          <w:szCs w:val="22"/>
        </w:rPr>
        <w:t>,</w:t>
      </w:r>
      <w:r w:rsidRPr="00BD017B">
        <w:rPr>
          <w:rFonts w:ascii="Bookman Old Style" w:hAnsi="Bookman Old Style"/>
          <w:sz w:val="22"/>
          <w:szCs w:val="22"/>
        </w:rPr>
        <w:t xml:space="preserve"> l’immediata fiscalizzazione del fondo TPL, comprendente ben 2,6 mld. destinati ai Comuni che esercitano la funzione (medie e grandi città):</w:t>
      </w:r>
    </w:p>
    <w:p w14:paraId="030F7E44" w14:textId="77777777" w:rsidR="00BD017B" w:rsidRPr="00BD017B" w:rsidRDefault="00BD017B" w:rsidP="00BD017B">
      <w:pPr>
        <w:numPr>
          <w:ilvl w:val="0"/>
          <w:numId w:val="1"/>
        </w:numPr>
        <w:jc w:val="both"/>
        <w:rPr>
          <w:rFonts w:ascii="Bookman Old Style" w:hAnsi="Bookman Old Style"/>
          <w:sz w:val="22"/>
          <w:szCs w:val="22"/>
        </w:rPr>
      </w:pPr>
      <w:r w:rsidRPr="00BD017B">
        <w:rPr>
          <w:rFonts w:ascii="Bookman Old Style" w:hAnsi="Bookman Old Style"/>
          <w:sz w:val="22"/>
          <w:szCs w:val="22"/>
        </w:rPr>
        <w:lastRenderedPageBreak/>
        <w:t>cristallizza l’attuale riparto delle risorse tra le regioni che era in corso di analisi a fini di razionalizzazione anche alla luce della mancata definizione dei fabbisogni standard e dei “Livelli adeguati di servizio”;</w:t>
      </w:r>
    </w:p>
    <w:p w14:paraId="046BA730" w14:textId="47CC1DC3" w:rsidR="00BD017B" w:rsidRPr="00BD017B" w:rsidRDefault="00BD017B" w:rsidP="00BD017B">
      <w:pPr>
        <w:numPr>
          <w:ilvl w:val="0"/>
          <w:numId w:val="1"/>
        </w:numPr>
        <w:jc w:val="both"/>
        <w:rPr>
          <w:rFonts w:ascii="Bookman Old Style" w:hAnsi="Bookman Old Style"/>
          <w:sz w:val="22"/>
          <w:szCs w:val="22"/>
        </w:rPr>
      </w:pPr>
      <w:r w:rsidRPr="00BD017B">
        <w:rPr>
          <w:rFonts w:ascii="Bookman Old Style" w:hAnsi="Bookman Old Style"/>
          <w:sz w:val="22"/>
          <w:szCs w:val="22"/>
        </w:rPr>
        <w:t>non pone rimedio all’evidente sottodotazione delle risorse già ampiamente rilevata</w:t>
      </w:r>
      <w:r w:rsidR="005A2168">
        <w:rPr>
          <w:rFonts w:ascii="Bookman Old Style" w:hAnsi="Bookman Old Style"/>
          <w:sz w:val="22"/>
          <w:szCs w:val="22"/>
        </w:rPr>
        <w:t>;</w:t>
      </w:r>
    </w:p>
    <w:p w14:paraId="30F97D8F" w14:textId="0D721880" w:rsidR="00BD017B" w:rsidRPr="00BD017B" w:rsidRDefault="00BD017B" w:rsidP="00BD017B">
      <w:pPr>
        <w:numPr>
          <w:ilvl w:val="0"/>
          <w:numId w:val="1"/>
        </w:numPr>
        <w:jc w:val="both"/>
        <w:rPr>
          <w:rFonts w:ascii="Bookman Old Style" w:hAnsi="Bookman Old Style"/>
          <w:sz w:val="22"/>
          <w:szCs w:val="22"/>
        </w:rPr>
      </w:pPr>
      <w:r w:rsidRPr="00BD017B">
        <w:rPr>
          <w:rFonts w:ascii="Bookman Old Style" w:hAnsi="Bookman Old Style"/>
          <w:sz w:val="22"/>
          <w:szCs w:val="22"/>
        </w:rPr>
        <w:t xml:space="preserve">non mette al riparo i </w:t>
      </w:r>
      <w:r w:rsidR="00B05FA8">
        <w:rPr>
          <w:rFonts w:ascii="Bookman Old Style" w:hAnsi="Bookman Old Style"/>
          <w:sz w:val="22"/>
          <w:szCs w:val="22"/>
        </w:rPr>
        <w:t>C</w:t>
      </w:r>
      <w:r w:rsidRPr="00BD017B">
        <w:rPr>
          <w:rFonts w:ascii="Bookman Old Style" w:hAnsi="Bookman Old Style"/>
          <w:sz w:val="22"/>
          <w:szCs w:val="22"/>
        </w:rPr>
        <w:t>omuni da scelte allocative eventualmente penalizzanti, in assenza di parametri di riferimento per la dimensione delle risorse da assegnare ai vari segmenti di trasporto all’interno di ciascuna regione.</w:t>
      </w:r>
    </w:p>
    <w:p w14:paraId="6E52AC5B" w14:textId="428AEE48" w:rsidR="00BD017B" w:rsidRDefault="00BD017B" w:rsidP="00BD017B">
      <w:pPr>
        <w:jc w:val="both"/>
        <w:rPr>
          <w:rFonts w:ascii="Bookman Old Style" w:hAnsi="Bookman Old Style"/>
          <w:sz w:val="22"/>
          <w:szCs w:val="22"/>
        </w:rPr>
      </w:pPr>
      <w:r w:rsidRPr="00BD017B">
        <w:rPr>
          <w:rFonts w:ascii="Bookman Old Style" w:hAnsi="Bookman Old Style"/>
          <w:sz w:val="22"/>
          <w:szCs w:val="22"/>
        </w:rPr>
        <w:t xml:space="preserve">L’Anci </w:t>
      </w:r>
      <w:r w:rsidR="007501D1">
        <w:rPr>
          <w:rFonts w:ascii="Bookman Old Style" w:hAnsi="Bookman Old Style"/>
          <w:sz w:val="22"/>
          <w:szCs w:val="22"/>
        </w:rPr>
        <w:t>ha espresso la pro</w:t>
      </w:r>
      <w:r w:rsidR="00507826">
        <w:rPr>
          <w:rFonts w:ascii="Bookman Old Style" w:hAnsi="Bookman Old Style"/>
          <w:sz w:val="22"/>
          <w:szCs w:val="22"/>
        </w:rPr>
        <w:t>p</w:t>
      </w:r>
      <w:r w:rsidR="007501D1">
        <w:rPr>
          <w:rFonts w:ascii="Bookman Old Style" w:hAnsi="Bookman Old Style"/>
          <w:sz w:val="22"/>
          <w:szCs w:val="22"/>
        </w:rPr>
        <w:t>ria contrarietà a</w:t>
      </w:r>
      <w:r w:rsidRPr="00BD017B">
        <w:rPr>
          <w:rFonts w:ascii="Bookman Old Style" w:hAnsi="Bookman Old Style"/>
          <w:sz w:val="22"/>
          <w:szCs w:val="22"/>
        </w:rPr>
        <w:t xml:space="preserve"> un intervento così invasivo in un momento di evidente instabilità e inadeguatezza dell’ammontare e del riparto del fondo TPL.</w:t>
      </w:r>
    </w:p>
    <w:p w14:paraId="59BCA188" w14:textId="77777777" w:rsidR="00962D5F" w:rsidRPr="00BD017B" w:rsidRDefault="00962D5F" w:rsidP="00BD017B">
      <w:pPr>
        <w:jc w:val="both"/>
        <w:rPr>
          <w:rFonts w:ascii="Bookman Old Style" w:hAnsi="Bookman Old Style"/>
          <w:sz w:val="22"/>
          <w:szCs w:val="22"/>
        </w:rPr>
      </w:pPr>
    </w:p>
    <w:p w14:paraId="460CFCAF" w14:textId="0761974B" w:rsidR="007D3035" w:rsidRPr="007B3DDD" w:rsidRDefault="00962D5F" w:rsidP="007B3DDD">
      <w:pPr>
        <w:pStyle w:val="Titolo2"/>
        <w:rPr>
          <w:rFonts w:ascii="Bookman Old Style" w:hAnsi="Bookman Old Style"/>
          <w:b/>
          <w:bCs/>
          <w:sz w:val="22"/>
          <w:szCs w:val="22"/>
        </w:rPr>
      </w:pPr>
      <w:bookmarkStart w:id="1" w:name="_Toc240375108"/>
      <w:r>
        <w:rPr>
          <w:rFonts w:ascii="Bookman Old Style" w:hAnsi="Bookman Old Style"/>
          <w:b/>
          <w:bCs/>
          <w:sz w:val="22"/>
          <w:szCs w:val="22"/>
        </w:rPr>
        <w:t>Norme generali</w:t>
      </w:r>
      <w:bookmarkEnd w:id="1"/>
    </w:p>
    <w:p w14:paraId="1D729237" w14:textId="77777777" w:rsidR="00962D5F" w:rsidRDefault="00962D5F" w:rsidP="00237899">
      <w:pPr>
        <w:pStyle w:val="Titolo3"/>
        <w:rPr>
          <w:b/>
          <w:bCs/>
          <w:sz w:val="24"/>
          <w:szCs w:val="24"/>
        </w:rPr>
      </w:pPr>
    </w:p>
    <w:p w14:paraId="6279FD3F" w14:textId="61629171" w:rsidR="00FB4466" w:rsidRPr="00D313FE" w:rsidRDefault="00FB4466" w:rsidP="00D313FE">
      <w:pPr>
        <w:pStyle w:val="Titolo2"/>
        <w:rPr>
          <w:rFonts w:ascii="Bookman Old Style" w:hAnsi="Bookman Old Style"/>
          <w:b/>
          <w:bCs/>
          <w:sz w:val="22"/>
          <w:szCs w:val="22"/>
        </w:rPr>
      </w:pPr>
      <w:bookmarkStart w:id="2" w:name="_Toc240375109"/>
      <w:r w:rsidRPr="00D313FE">
        <w:rPr>
          <w:rFonts w:ascii="Bookman Old Style" w:hAnsi="Bookman Old Style"/>
          <w:b/>
          <w:bCs/>
          <w:sz w:val="22"/>
          <w:szCs w:val="22"/>
        </w:rPr>
        <w:t>Articolo 1 – Potenziamento delle forme di collaborazione con il contribuente</w:t>
      </w:r>
      <w:bookmarkEnd w:id="2"/>
    </w:p>
    <w:p w14:paraId="7CF550DF" w14:textId="1437559B" w:rsidR="00FB4466" w:rsidRPr="00FB4466" w:rsidRDefault="00FB4466" w:rsidP="00FB4466">
      <w:pPr>
        <w:jc w:val="both"/>
        <w:rPr>
          <w:rFonts w:ascii="Bookman Old Style" w:hAnsi="Bookman Old Style"/>
          <w:sz w:val="22"/>
          <w:szCs w:val="22"/>
        </w:rPr>
      </w:pPr>
      <w:r w:rsidRPr="00FB4466">
        <w:rPr>
          <w:rFonts w:ascii="Bookman Old Style" w:hAnsi="Bookman Old Style"/>
          <w:sz w:val="22"/>
          <w:szCs w:val="22"/>
        </w:rPr>
        <w:t>La disposizione individua un insieme di principi e di linee operative cui regioni ed enti locali devono conformare la gestione dei tributi. Gli enti sono chiamati a rafforzare l’informazione e l’assistenza</w:t>
      </w:r>
      <w:r w:rsidR="00C2584B">
        <w:rPr>
          <w:rFonts w:ascii="Bookman Old Style" w:hAnsi="Bookman Old Style"/>
          <w:sz w:val="22"/>
          <w:szCs w:val="22"/>
        </w:rPr>
        <w:t xml:space="preserve"> al contribuente</w:t>
      </w:r>
      <w:r w:rsidRPr="00FB4466">
        <w:rPr>
          <w:rFonts w:ascii="Bookman Old Style" w:hAnsi="Bookman Old Style"/>
          <w:sz w:val="22"/>
          <w:szCs w:val="22"/>
        </w:rPr>
        <w:t>, semplificare gli adempimenti e l’accesso ai servizi, prevenire gli errori, favorire l’adempimento spontaneo, introdurre strumenti di compensazione tra tributi del medesimo ente e assicurare il tempestivo rimborso delle somme erroneamente riscosse.</w:t>
      </w:r>
    </w:p>
    <w:p w14:paraId="39EEFD71" w14:textId="77777777" w:rsidR="008E486A" w:rsidRDefault="00FB4466" w:rsidP="00537872">
      <w:pPr>
        <w:jc w:val="both"/>
        <w:rPr>
          <w:rFonts w:ascii="Bookman Old Style" w:hAnsi="Bookman Old Style"/>
          <w:sz w:val="22"/>
          <w:szCs w:val="22"/>
        </w:rPr>
      </w:pPr>
      <w:r w:rsidRPr="00FB4466">
        <w:rPr>
          <w:rFonts w:ascii="Bookman Old Style" w:hAnsi="Bookman Old Style"/>
          <w:sz w:val="22"/>
          <w:szCs w:val="22"/>
        </w:rPr>
        <w:t xml:space="preserve">Il comma 2 richiama espressamente l’applicazione dello Statuto dei diritti del contribuente e impone agli enti di adeguare i propri ordinamenti. Assume particolare rilievo l’obbligo di individuare gli atti automatizzati, sostanzialmente automatizzati, di pronta liquidazione e di controllo formale per i quali non opera </w:t>
      </w:r>
      <w:r w:rsidR="00C576E1">
        <w:rPr>
          <w:rFonts w:ascii="Bookman Old Style" w:hAnsi="Bookman Old Style"/>
          <w:sz w:val="22"/>
          <w:szCs w:val="22"/>
        </w:rPr>
        <w:t xml:space="preserve">l’istituto del </w:t>
      </w:r>
      <w:r w:rsidRPr="00FB4466">
        <w:rPr>
          <w:rFonts w:ascii="Bookman Old Style" w:hAnsi="Bookman Old Style"/>
          <w:sz w:val="22"/>
          <w:szCs w:val="22"/>
        </w:rPr>
        <w:t>contraddittorio preventivo</w:t>
      </w:r>
      <w:r w:rsidR="00AF42F9">
        <w:rPr>
          <w:rFonts w:ascii="Bookman Old Style" w:hAnsi="Bookman Old Style"/>
          <w:sz w:val="22"/>
          <w:szCs w:val="22"/>
        </w:rPr>
        <w:t xml:space="preserve">, già introdotto con l’art. </w:t>
      </w:r>
      <w:r w:rsidR="00A664E2" w:rsidRPr="00A664E2">
        <w:rPr>
          <w:rFonts w:ascii="Bookman Old Style" w:hAnsi="Bookman Old Style"/>
          <w:b/>
          <w:bCs/>
          <w:sz w:val="22"/>
          <w:szCs w:val="22"/>
        </w:rPr>
        <w:t>6-</w:t>
      </w:r>
      <w:r w:rsidR="00A664E2" w:rsidRPr="004D71B7">
        <w:rPr>
          <w:rFonts w:ascii="Bookman Old Style" w:hAnsi="Bookman Old Style"/>
          <w:b/>
          <w:bCs/>
          <w:i/>
          <w:iCs/>
          <w:sz w:val="22"/>
          <w:szCs w:val="22"/>
        </w:rPr>
        <w:t>bis</w:t>
      </w:r>
      <w:r w:rsidR="00A664E2" w:rsidRPr="00A664E2">
        <w:rPr>
          <w:rFonts w:ascii="Bookman Old Style" w:hAnsi="Bookman Old Style"/>
          <w:b/>
          <w:bCs/>
          <w:sz w:val="22"/>
          <w:szCs w:val="22"/>
        </w:rPr>
        <w:t xml:space="preserve"> della legge n. 212/2000 (Statuto dei diritti del contribuente)</w:t>
      </w:r>
      <w:r w:rsidR="00A664E2" w:rsidRPr="00A664E2">
        <w:rPr>
          <w:rFonts w:ascii="Bookman Old Style" w:hAnsi="Bookman Old Style"/>
          <w:sz w:val="22"/>
          <w:szCs w:val="22"/>
        </w:rPr>
        <w:t xml:space="preserve">, introdotto dal </w:t>
      </w:r>
      <w:r w:rsidR="00C47A61">
        <w:rPr>
          <w:rFonts w:ascii="Bookman Old Style" w:hAnsi="Bookman Old Style"/>
          <w:sz w:val="22"/>
          <w:szCs w:val="22"/>
        </w:rPr>
        <w:t>d</w:t>
      </w:r>
      <w:r w:rsidR="00A664E2" w:rsidRPr="00A664E2">
        <w:rPr>
          <w:rFonts w:ascii="Bookman Old Style" w:hAnsi="Bookman Old Style"/>
          <w:sz w:val="22"/>
          <w:szCs w:val="22"/>
        </w:rPr>
        <w:t>.</w:t>
      </w:r>
      <w:r w:rsidR="00C47A61">
        <w:rPr>
          <w:rFonts w:ascii="Bookman Old Style" w:hAnsi="Bookman Old Style"/>
          <w:sz w:val="22"/>
          <w:szCs w:val="22"/>
        </w:rPr>
        <w:t>l</w:t>
      </w:r>
      <w:r w:rsidR="00A664E2" w:rsidRPr="00A664E2">
        <w:rPr>
          <w:rFonts w:ascii="Bookman Old Style" w:hAnsi="Bookman Old Style"/>
          <w:sz w:val="22"/>
          <w:szCs w:val="22"/>
        </w:rPr>
        <w:t>gs. n. 219/2023</w:t>
      </w:r>
      <w:r w:rsidR="00AF42F9">
        <w:rPr>
          <w:rFonts w:ascii="Bookman Old Style" w:hAnsi="Bookman Old Style"/>
          <w:sz w:val="22"/>
          <w:szCs w:val="22"/>
        </w:rPr>
        <w:t xml:space="preserve"> anch’esso attuativo della Delega</w:t>
      </w:r>
      <w:r w:rsidR="00C47A61">
        <w:rPr>
          <w:rFonts w:ascii="Bookman Old Style" w:hAnsi="Bookman Old Style"/>
          <w:sz w:val="22"/>
          <w:szCs w:val="22"/>
        </w:rPr>
        <w:t xml:space="preserve"> fiscale</w:t>
      </w:r>
      <w:r w:rsidRPr="00FB4466">
        <w:rPr>
          <w:rFonts w:ascii="Bookman Old Style" w:hAnsi="Bookman Old Style"/>
          <w:sz w:val="22"/>
          <w:szCs w:val="22"/>
        </w:rPr>
        <w:t xml:space="preserve">. </w:t>
      </w:r>
      <w:r w:rsidR="00C3503F">
        <w:rPr>
          <w:rFonts w:ascii="Bookman Old Style" w:hAnsi="Bookman Old Style"/>
          <w:sz w:val="22"/>
          <w:szCs w:val="22"/>
        </w:rPr>
        <w:t>Come già a suo tempo osservato</w:t>
      </w:r>
      <w:r w:rsidR="00C3503F">
        <w:rPr>
          <w:rStyle w:val="Rimandonotaapidipagina"/>
          <w:rFonts w:ascii="Bookman Old Style" w:hAnsi="Bookman Old Style"/>
          <w:sz w:val="22"/>
          <w:szCs w:val="22"/>
        </w:rPr>
        <w:footnoteReference w:id="1"/>
      </w:r>
      <w:r w:rsidR="00C3503F">
        <w:rPr>
          <w:rFonts w:ascii="Bookman Old Style" w:hAnsi="Bookman Old Style"/>
          <w:sz w:val="22"/>
          <w:szCs w:val="22"/>
        </w:rPr>
        <w:t>, l</w:t>
      </w:r>
      <w:r w:rsidR="00C3503F" w:rsidRPr="00FB4466">
        <w:rPr>
          <w:rFonts w:ascii="Bookman Old Style" w:hAnsi="Bookman Old Style"/>
          <w:sz w:val="22"/>
          <w:szCs w:val="22"/>
        </w:rPr>
        <w:t xml:space="preserve">a </w:t>
      </w:r>
      <w:r w:rsidRPr="00FB4466">
        <w:rPr>
          <w:rFonts w:ascii="Bookman Old Style" w:hAnsi="Bookman Old Style"/>
          <w:sz w:val="22"/>
          <w:szCs w:val="22"/>
        </w:rPr>
        <w:t xml:space="preserve">norma richiede </w:t>
      </w:r>
      <w:r w:rsidR="00C3503F">
        <w:rPr>
          <w:rFonts w:ascii="Bookman Old Style" w:hAnsi="Bookman Old Style"/>
          <w:sz w:val="22"/>
          <w:szCs w:val="22"/>
        </w:rPr>
        <w:t xml:space="preserve">interventi </w:t>
      </w:r>
      <w:r w:rsidRPr="00FB4466">
        <w:rPr>
          <w:rFonts w:ascii="Bookman Old Style" w:hAnsi="Bookman Old Style"/>
          <w:sz w:val="22"/>
          <w:szCs w:val="22"/>
        </w:rPr>
        <w:t>sui regolamenti tributari, sui procedimenti interni e sulla classificazione degli atti, con possibili ricadute organizzative e informatiche.</w:t>
      </w:r>
      <w:r w:rsidR="00537872">
        <w:rPr>
          <w:rFonts w:ascii="Bookman Old Style" w:hAnsi="Bookman Old Style"/>
          <w:sz w:val="22"/>
          <w:szCs w:val="22"/>
        </w:rPr>
        <w:t xml:space="preserve"> Va evidenziato che l’obbligo di adeguamento dei regolamenti comunali risultava già chiaramente enunciato dall’art. 1, legge n. 212/2000, non derivando, quindi, direttamente dalla norma in commento. I Comuni potranno fare riferimento al </w:t>
      </w:r>
      <w:r w:rsidR="00537872" w:rsidRPr="00537872">
        <w:rPr>
          <w:rFonts w:ascii="Bookman Old Style" w:hAnsi="Bookman Old Style"/>
          <w:sz w:val="22"/>
          <w:szCs w:val="22"/>
        </w:rPr>
        <w:t>decreto del Ministro dell’economia e delle finanze del 24 aprile del 2024</w:t>
      </w:r>
      <w:r w:rsidR="00537872">
        <w:rPr>
          <w:rFonts w:ascii="Bookman Old Style" w:hAnsi="Bookman Old Style"/>
          <w:sz w:val="22"/>
          <w:szCs w:val="22"/>
        </w:rPr>
        <w:t>, con il quale</w:t>
      </w:r>
      <w:r w:rsidR="00537872" w:rsidRPr="00537872">
        <w:rPr>
          <w:rFonts w:ascii="Bookman Old Style" w:hAnsi="Bookman Old Style"/>
          <w:sz w:val="22"/>
          <w:szCs w:val="22"/>
        </w:rPr>
        <w:t xml:space="preserve"> sono stati individuati, per l’Agenzia delle entrate, gli atti per i quali non sussiste il diritto al contraddittorio. In particolare: </w:t>
      </w:r>
    </w:p>
    <w:p w14:paraId="3AAEFAE5" w14:textId="77777777" w:rsidR="008E486A" w:rsidRDefault="00537872" w:rsidP="008E486A">
      <w:pPr>
        <w:pStyle w:val="Paragrafoelenco"/>
        <w:numPr>
          <w:ilvl w:val="0"/>
          <w:numId w:val="1"/>
        </w:numPr>
        <w:jc w:val="both"/>
        <w:rPr>
          <w:rFonts w:ascii="Bookman Old Style" w:hAnsi="Bookman Old Style"/>
          <w:sz w:val="22"/>
          <w:szCs w:val="22"/>
        </w:rPr>
      </w:pPr>
      <w:r w:rsidRPr="00DB450E">
        <w:rPr>
          <w:rFonts w:ascii="Bookman Old Style" w:hAnsi="Bookman Old Style"/>
          <w:sz w:val="22"/>
          <w:szCs w:val="22"/>
        </w:rPr>
        <w:t>all’articolo 2 sono elencati gli atti automatizzati e sostanzialmente automatizzati;</w:t>
      </w:r>
    </w:p>
    <w:p w14:paraId="4A1C7F83" w14:textId="6664A935" w:rsidR="008E486A" w:rsidRDefault="00537872" w:rsidP="008E486A">
      <w:pPr>
        <w:pStyle w:val="Paragrafoelenco"/>
        <w:numPr>
          <w:ilvl w:val="0"/>
          <w:numId w:val="1"/>
        </w:numPr>
        <w:jc w:val="both"/>
        <w:rPr>
          <w:rFonts w:ascii="Bookman Old Style" w:hAnsi="Bookman Old Style"/>
          <w:sz w:val="22"/>
          <w:szCs w:val="22"/>
        </w:rPr>
      </w:pPr>
      <w:r w:rsidRPr="00DB450E">
        <w:rPr>
          <w:rFonts w:ascii="Bookman Old Style" w:hAnsi="Bookman Old Style"/>
          <w:sz w:val="22"/>
          <w:szCs w:val="22"/>
        </w:rPr>
        <w:t xml:space="preserve">all’articolo 3 sono riportati gli atti di pronta liquidazione (ossia ogni atto dell’amministrazione finanziaria emesso a seguito di dati o elementi direttamente desumibili dalle dichiarazioni presentate dai contribuenti e dai dati in possesso della stessa amministrazione); </w:t>
      </w:r>
    </w:p>
    <w:p w14:paraId="0B5ED7EE" w14:textId="25906AC5" w:rsidR="00537872" w:rsidRPr="00DB450E" w:rsidRDefault="00537872" w:rsidP="00DB450E">
      <w:pPr>
        <w:pStyle w:val="Paragrafoelenco"/>
        <w:numPr>
          <w:ilvl w:val="0"/>
          <w:numId w:val="1"/>
        </w:numPr>
        <w:jc w:val="both"/>
        <w:rPr>
          <w:rFonts w:ascii="Bookman Old Style" w:hAnsi="Bookman Old Style"/>
          <w:sz w:val="22"/>
          <w:szCs w:val="22"/>
        </w:rPr>
      </w:pPr>
      <w:r w:rsidRPr="00DB450E">
        <w:rPr>
          <w:rFonts w:ascii="Bookman Old Style" w:hAnsi="Bookman Old Style"/>
          <w:sz w:val="22"/>
          <w:szCs w:val="22"/>
        </w:rPr>
        <w:lastRenderedPageBreak/>
        <w:t>all’articolo 4 sono infine indicati gli atti di controllo formale delle dichiarazioni (ossia gli atti emessi a seguito di un riscontro formale dei dati contenuti nelle dichiarazioni dei contribuenti o dei sostituti di imposta con i documenti che attestano la correttezza dei dati dichiarati). Le indicazioni fornite dal decreto ministeriale possono essere, ovviamente, fatte proprie dal regolamento comunale, così come peraltro già previsto nello schema tipo di regolamento predisposto da IFEL, che risulta coerente con</w:t>
      </w:r>
      <w:r w:rsidR="009C5B16">
        <w:rPr>
          <w:rFonts w:ascii="Bookman Old Style" w:hAnsi="Bookman Old Style"/>
          <w:sz w:val="22"/>
          <w:szCs w:val="22"/>
        </w:rPr>
        <w:t xml:space="preserve"> il quadro normativo e con</w:t>
      </w:r>
      <w:r w:rsidRPr="00DB450E">
        <w:rPr>
          <w:rFonts w:ascii="Bookman Old Style" w:hAnsi="Bookman Old Style"/>
          <w:sz w:val="22"/>
          <w:szCs w:val="22"/>
        </w:rPr>
        <w:t xml:space="preserve"> le prescrizioni ministeriali.</w:t>
      </w:r>
    </w:p>
    <w:p w14:paraId="508E8B85" w14:textId="53D44B9F" w:rsidR="00537872" w:rsidRPr="00537872" w:rsidRDefault="00537872" w:rsidP="00E25975">
      <w:pPr>
        <w:jc w:val="both"/>
        <w:rPr>
          <w:rFonts w:ascii="Bookman Old Style" w:hAnsi="Bookman Old Style"/>
          <w:sz w:val="22"/>
          <w:szCs w:val="22"/>
        </w:rPr>
      </w:pPr>
      <w:r>
        <w:rPr>
          <w:rFonts w:ascii="Bookman Old Style" w:hAnsi="Bookman Old Style"/>
          <w:sz w:val="22"/>
          <w:szCs w:val="22"/>
        </w:rPr>
        <w:t xml:space="preserve">Si sottolinea, infine, l’importanza di recepire nei regolamenti comunali gli atti sottratti al contraddittorio preventivo, </w:t>
      </w:r>
      <w:r w:rsidR="00823025" w:rsidRPr="00DB450E">
        <w:rPr>
          <w:rFonts w:ascii="Bookman Old Style" w:hAnsi="Bookman Old Style"/>
          <w:b/>
          <w:bCs/>
          <w:sz w:val="22"/>
          <w:szCs w:val="22"/>
        </w:rPr>
        <w:t>anche in cons</w:t>
      </w:r>
      <w:r w:rsidR="00E25975" w:rsidRPr="00DB450E">
        <w:rPr>
          <w:rFonts w:ascii="Bookman Old Style" w:hAnsi="Bookman Old Style"/>
          <w:b/>
          <w:bCs/>
          <w:sz w:val="22"/>
          <w:szCs w:val="22"/>
        </w:rPr>
        <w:t xml:space="preserve">iderazione che </w:t>
      </w:r>
      <w:r w:rsidRPr="00DB450E">
        <w:rPr>
          <w:rFonts w:ascii="Bookman Old Style" w:hAnsi="Bookman Old Style"/>
          <w:b/>
          <w:bCs/>
          <w:sz w:val="22"/>
          <w:szCs w:val="22"/>
        </w:rPr>
        <w:t>la mancata attivazione del contraddittorio preventivo, laddove necessario, rappresenta un vizio del procedimento che può portare all’annullamento dell’atto</w:t>
      </w:r>
      <w:r w:rsidRPr="00537872">
        <w:rPr>
          <w:rFonts w:ascii="Bookman Old Style" w:hAnsi="Bookman Old Style"/>
          <w:sz w:val="22"/>
          <w:szCs w:val="22"/>
        </w:rPr>
        <w:t>, per quanto disposto dall’art. 7-</w:t>
      </w:r>
      <w:r w:rsidRPr="004D71B7">
        <w:rPr>
          <w:rFonts w:ascii="Bookman Old Style" w:hAnsi="Bookman Old Style"/>
          <w:i/>
          <w:iCs/>
          <w:sz w:val="22"/>
          <w:szCs w:val="22"/>
        </w:rPr>
        <w:t>bis</w:t>
      </w:r>
      <w:r w:rsidRPr="00537872">
        <w:rPr>
          <w:rFonts w:ascii="Bookman Old Style" w:hAnsi="Bookman Old Style"/>
          <w:sz w:val="22"/>
          <w:szCs w:val="22"/>
        </w:rPr>
        <w:t>, legge n. 212</w:t>
      </w:r>
      <w:r w:rsidR="00E25975">
        <w:rPr>
          <w:rFonts w:ascii="Bookman Old Style" w:hAnsi="Bookman Old Style"/>
          <w:sz w:val="22"/>
          <w:szCs w:val="22"/>
        </w:rPr>
        <w:t>/2000</w:t>
      </w:r>
      <w:r w:rsidRPr="00537872">
        <w:rPr>
          <w:rFonts w:ascii="Bookman Old Style" w:hAnsi="Bookman Old Style"/>
          <w:sz w:val="22"/>
          <w:szCs w:val="22"/>
        </w:rPr>
        <w:t>.</w:t>
      </w:r>
    </w:p>
    <w:p w14:paraId="6CC2601D" w14:textId="77777777" w:rsidR="00537872" w:rsidRPr="00FB4466" w:rsidRDefault="00537872" w:rsidP="00FB4466">
      <w:pPr>
        <w:jc w:val="both"/>
        <w:rPr>
          <w:rFonts w:ascii="Bookman Old Style" w:hAnsi="Bookman Old Style"/>
          <w:sz w:val="22"/>
          <w:szCs w:val="22"/>
        </w:rPr>
      </w:pPr>
    </w:p>
    <w:p w14:paraId="444F6375" w14:textId="77777777" w:rsidR="00FB4466" w:rsidRPr="00D313FE" w:rsidRDefault="00FB4466" w:rsidP="00D313FE">
      <w:pPr>
        <w:pStyle w:val="Titolo2"/>
        <w:rPr>
          <w:rFonts w:ascii="Bookman Old Style" w:hAnsi="Bookman Old Style"/>
          <w:b/>
          <w:bCs/>
          <w:sz w:val="22"/>
          <w:szCs w:val="22"/>
        </w:rPr>
      </w:pPr>
      <w:bookmarkStart w:id="3" w:name="_Toc240375110"/>
      <w:r w:rsidRPr="00D313FE">
        <w:rPr>
          <w:rFonts w:ascii="Bookman Old Style" w:hAnsi="Bookman Old Style"/>
          <w:b/>
          <w:bCs/>
          <w:sz w:val="22"/>
          <w:szCs w:val="22"/>
        </w:rPr>
        <w:t>Articolo 2 – Riduzione di aliquote e tariffe in caso di addebito diretto</w:t>
      </w:r>
      <w:bookmarkEnd w:id="3"/>
    </w:p>
    <w:p w14:paraId="55AAAC31" w14:textId="4E52C3AA" w:rsidR="00FE4CA7" w:rsidRDefault="00FB4466" w:rsidP="00FB4466">
      <w:pPr>
        <w:jc w:val="both"/>
        <w:rPr>
          <w:rFonts w:ascii="Bookman Old Style" w:hAnsi="Bookman Old Style"/>
          <w:sz w:val="22"/>
          <w:szCs w:val="22"/>
        </w:rPr>
      </w:pPr>
      <w:r w:rsidRPr="00FB4466">
        <w:rPr>
          <w:rFonts w:ascii="Bookman Old Style" w:hAnsi="Bookman Old Style"/>
          <w:sz w:val="22"/>
          <w:szCs w:val="22"/>
        </w:rPr>
        <w:t xml:space="preserve">L’articolo modifica la disciplina che consente agli enti territoriali di riconoscere riduzioni ai contribuenti che effettuano il pagamento mediante addebito diretto sul conto corrente bancario o postale. </w:t>
      </w:r>
      <w:r w:rsidR="00E426FA">
        <w:rPr>
          <w:rFonts w:ascii="Bookman Old Style" w:hAnsi="Bookman Old Style"/>
          <w:sz w:val="22"/>
          <w:szCs w:val="22"/>
        </w:rPr>
        <w:t xml:space="preserve">Si ricorda che la disciplina modificata dalla presente disposizione è l’articolo </w:t>
      </w:r>
      <w:r w:rsidR="003F0A72">
        <w:rPr>
          <w:rFonts w:ascii="Bookman Old Style" w:hAnsi="Bookman Old Style"/>
          <w:sz w:val="22"/>
          <w:szCs w:val="22"/>
        </w:rPr>
        <w:t>118-</w:t>
      </w:r>
      <w:r w:rsidR="00E426FA" w:rsidRPr="007B3DDD">
        <w:rPr>
          <w:rFonts w:ascii="Bookman Old Style" w:hAnsi="Bookman Old Style"/>
          <w:i/>
          <w:iCs/>
          <w:sz w:val="22"/>
          <w:szCs w:val="22"/>
        </w:rPr>
        <w:t>ter</w:t>
      </w:r>
      <w:r w:rsidR="00E426FA">
        <w:rPr>
          <w:rFonts w:ascii="Bookman Old Style" w:hAnsi="Bookman Old Style"/>
          <w:sz w:val="22"/>
          <w:szCs w:val="22"/>
        </w:rPr>
        <w:t xml:space="preserve"> del </w:t>
      </w:r>
      <w:r w:rsidR="00FE4CA7">
        <w:rPr>
          <w:rFonts w:ascii="Bookman Old Style" w:hAnsi="Bookman Old Style"/>
          <w:sz w:val="22"/>
          <w:szCs w:val="22"/>
        </w:rPr>
        <w:t>dl 34 del 2020 in base alla quale “</w:t>
      </w:r>
      <w:r w:rsidR="00C12591" w:rsidRPr="00FE4CA7">
        <w:rPr>
          <w:rFonts w:ascii="Bookman Old Style" w:hAnsi="Bookman Old Style"/>
          <w:i/>
          <w:iCs/>
          <w:sz w:val="22"/>
          <w:szCs w:val="22"/>
        </w:rPr>
        <w:t>Gli enti territoriali possono, con propria deliberazione, stabilire una riduzione fino al 20 per cento delle aliquote e delle tariffe delle proprie entrate tributarie e patrimoniali, applicabile a condizione che il soggetto passivo obbligato provveda ad adempiere mediante autorizzazione permanente all'addebito diretto del pagamento su conto corrente bancario o postale</w:t>
      </w:r>
      <w:r w:rsidR="00FE4CA7">
        <w:rPr>
          <w:rFonts w:ascii="Bookman Old Style" w:hAnsi="Bookman Old Style"/>
          <w:sz w:val="22"/>
          <w:szCs w:val="22"/>
        </w:rPr>
        <w:t>”</w:t>
      </w:r>
      <w:r w:rsidR="00C12591" w:rsidRPr="00C12591">
        <w:rPr>
          <w:rFonts w:ascii="Bookman Old Style" w:hAnsi="Bookman Old Style"/>
          <w:sz w:val="22"/>
          <w:szCs w:val="22"/>
        </w:rPr>
        <w:t>.</w:t>
      </w:r>
    </w:p>
    <w:p w14:paraId="1FA41B40" w14:textId="3A49377E" w:rsidR="002E4590" w:rsidRPr="002E4590" w:rsidRDefault="002E4590" w:rsidP="002E4590">
      <w:pPr>
        <w:jc w:val="both"/>
        <w:rPr>
          <w:rFonts w:ascii="Bookman Old Style" w:hAnsi="Bookman Old Style"/>
          <w:sz w:val="22"/>
          <w:szCs w:val="22"/>
        </w:rPr>
      </w:pPr>
      <w:r w:rsidRPr="002E4590">
        <w:rPr>
          <w:rFonts w:ascii="Bookman Old Style" w:hAnsi="Bookman Old Style"/>
          <w:sz w:val="22"/>
          <w:szCs w:val="22"/>
        </w:rPr>
        <w:t xml:space="preserve">Rispetto al testo previgente è modificata la rubrica, che prima faceva riferimento al solo pagamento “mediante domiciliazione bancaria”, mentre oggi </w:t>
      </w:r>
      <w:r>
        <w:rPr>
          <w:rFonts w:ascii="Bookman Old Style" w:hAnsi="Bookman Old Style"/>
          <w:sz w:val="22"/>
          <w:szCs w:val="22"/>
        </w:rPr>
        <w:t xml:space="preserve">si </w:t>
      </w:r>
      <w:r w:rsidRPr="002E4590">
        <w:rPr>
          <w:rFonts w:ascii="Bookman Old Style" w:hAnsi="Bookman Old Style"/>
          <w:sz w:val="22"/>
          <w:szCs w:val="22"/>
        </w:rPr>
        <w:t>aggiunge anche il conto corrente postale.</w:t>
      </w:r>
    </w:p>
    <w:p w14:paraId="7253D83B" w14:textId="2CAA0E3B" w:rsidR="002E4590" w:rsidRDefault="002E4590" w:rsidP="002E4590">
      <w:pPr>
        <w:jc w:val="both"/>
        <w:rPr>
          <w:rFonts w:ascii="Bookman Old Style" w:hAnsi="Bookman Old Style"/>
          <w:sz w:val="22"/>
          <w:szCs w:val="22"/>
        </w:rPr>
      </w:pPr>
      <w:r w:rsidRPr="002E4590">
        <w:rPr>
          <w:rFonts w:ascii="Bookman Old Style" w:hAnsi="Bookman Old Style"/>
          <w:sz w:val="22"/>
          <w:szCs w:val="22"/>
        </w:rPr>
        <w:t>Mentre la normativa in precedenza prevedeva che la riduzione fosse prevista in una “deliberazione”, oggi più correttamente si precisa che la riduzione va disciplinata, per quanto riguarda gli enti locali, con regolamento adottato ai sensi dell’art. 52, d.lgs. n. 446</w:t>
      </w:r>
      <w:r>
        <w:rPr>
          <w:rFonts w:ascii="Bookman Old Style" w:hAnsi="Bookman Old Style"/>
          <w:sz w:val="22"/>
          <w:szCs w:val="22"/>
        </w:rPr>
        <w:t xml:space="preserve"> del </w:t>
      </w:r>
      <w:r w:rsidRPr="002E4590">
        <w:rPr>
          <w:rFonts w:ascii="Bookman Old Style" w:hAnsi="Bookman Old Style"/>
          <w:sz w:val="22"/>
          <w:szCs w:val="22"/>
        </w:rPr>
        <w:t>1997.</w:t>
      </w:r>
    </w:p>
    <w:p w14:paraId="23FD6A0D" w14:textId="4E1B39EE" w:rsidR="00E25975" w:rsidRPr="00FB4466" w:rsidRDefault="00E25975" w:rsidP="00FB4466">
      <w:pPr>
        <w:jc w:val="both"/>
        <w:rPr>
          <w:rFonts w:ascii="Bookman Old Style" w:hAnsi="Bookman Old Style"/>
          <w:sz w:val="22"/>
          <w:szCs w:val="22"/>
        </w:rPr>
      </w:pPr>
      <w:r>
        <w:rPr>
          <w:rFonts w:ascii="Bookman Old Style" w:hAnsi="Bookman Old Style"/>
          <w:sz w:val="22"/>
          <w:szCs w:val="22"/>
        </w:rPr>
        <w:t xml:space="preserve">È stato modificato il </w:t>
      </w:r>
      <w:r w:rsidRPr="00E25975">
        <w:rPr>
          <w:rFonts w:ascii="Bookman Old Style" w:hAnsi="Bookman Old Style"/>
          <w:sz w:val="22"/>
          <w:szCs w:val="22"/>
        </w:rPr>
        <w:t>destinatario della riduzione, prima individuato nel “soggetto passivo obbligato” ed oggi nel “soggetto passivo del tributo”, locuzione poco puntuale in quanto la riduzione può riguardare anche entrate patrimoniali, per le quali non esiste un soggetto passivo del tributo, come ad esempio per le rette scolastiche.</w:t>
      </w:r>
    </w:p>
    <w:p w14:paraId="294A76C6" w14:textId="24BCF483" w:rsidR="00E25975" w:rsidRDefault="007B29AF" w:rsidP="00FB4466">
      <w:pPr>
        <w:jc w:val="both"/>
        <w:rPr>
          <w:rFonts w:ascii="Bookman Old Style" w:hAnsi="Bookman Old Style"/>
          <w:sz w:val="22"/>
          <w:szCs w:val="22"/>
        </w:rPr>
      </w:pPr>
      <w:r>
        <w:rPr>
          <w:rFonts w:ascii="Bookman Old Style" w:hAnsi="Bookman Old Style"/>
          <w:sz w:val="22"/>
          <w:szCs w:val="22"/>
        </w:rPr>
        <w:t>La modifica prevede che l</w:t>
      </w:r>
      <w:r w:rsidR="00FB4466" w:rsidRPr="00FB4466">
        <w:rPr>
          <w:rFonts w:ascii="Bookman Old Style" w:hAnsi="Bookman Old Style"/>
          <w:sz w:val="22"/>
          <w:szCs w:val="22"/>
        </w:rPr>
        <w:t>’ente potrà applicare una riduzione percentuale, eventualmente entro un importo massimo, oppure un importo fisso</w:t>
      </w:r>
      <w:r w:rsidR="00E25975">
        <w:rPr>
          <w:rFonts w:ascii="Bookman Old Style" w:hAnsi="Bookman Old Style"/>
          <w:sz w:val="22"/>
          <w:szCs w:val="22"/>
        </w:rPr>
        <w:t xml:space="preserve">; </w:t>
      </w:r>
      <w:r w:rsidR="00E25975" w:rsidRPr="00DB450E">
        <w:rPr>
          <w:rFonts w:ascii="Bookman Old Style" w:hAnsi="Bookman Old Style"/>
          <w:sz w:val="22"/>
          <w:szCs w:val="22"/>
        </w:rPr>
        <w:t>ad esempio, riduzione del 20% fino ad un massimo di 1.000 euro dovuti) oppure stabilire un importo fisso, alternativo alla percentuale</w:t>
      </w:r>
      <w:r w:rsidR="00E15DE8">
        <w:rPr>
          <w:rFonts w:ascii="Bookman Old Style" w:hAnsi="Bookman Old Style"/>
          <w:sz w:val="22"/>
          <w:szCs w:val="22"/>
        </w:rPr>
        <w:t>.</w:t>
      </w:r>
    </w:p>
    <w:p w14:paraId="11410BFC" w14:textId="58E3769E" w:rsidR="00FB4466" w:rsidRPr="00FB4466" w:rsidRDefault="00FB4466" w:rsidP="00FB4466">
      <w:pPr>
        <w:jc w:val="both"/>
        <w:rPr>
          <w:rFonts w:ascii="Bookman Old Style" w:hAnsi="Bookman Old Style"/>
          <w:sz w:val="22"/>
          <w:szCs w:val="22"/>
        </w:rPr>
      </w:pPr>
      <w:r w:rsidRPr="00FB4466">
        <w:rPr>
          <w:rFonts w:ascii="Bookman Old Style" w:hAnsi="Bookman Old Style"/>
          <w:sz w:val="22"/>
          <w:szCs w:val="22"/>
        </w:rPr>
        <w:t>La misura non è applicabile alle entrate riscosse esclusivamente tramite il sistema dei versamenti unitari</w:t>
      </w:r>
      <w:r w:rsidR="009320AF">
        <w:rPr>
          <w:rFonts w:ascii="Bookman Old Style" w:hAnsi="Bookman Old Style"/>
          <w:sz w:val="22"/>
          <w:szCs w:val="22"/>
        </w:rPr>
        <w:t xml:space="preserve"> (F24)</w:t>
      </w:r>
      <w:r w:rsidRPr="00FB4466">
        <w:rPr>
          <w:rFonts w:ascii="Bookman Old Style" w:hAnsi="Bookman Old Style"/>
          <w:sz w:val="22"/>
          <w:szCs w:val="22"/>
        </w:rPr>
        <w:t xml:space="preserve">. </w:t>
      </w:r>
      <w:r w:rsidR="00082995" w:rsidRPr="00082995">
        <w:rPr>
          <w:rFonts w:ascii="Bookman Old Style" w:hAnsi="Bookman Old Style"/>
          <w:sz w:val="22"/>
          <w:szCs w:val="22"/>
        </w:rPr>
        <w:t xml:space="preserve">La relazione illustrativa richiama, in particolare, l’IMU, in considerazione della necessità di preservare i flussi informativi necessari alle regolazioni finanziarie connesse al Fondo di solidarietà comunale e al Fondo speciale per l’equità del livello dei servizi. Nell’ambito delle entrate comunali rileva altresì l’addizionale comunale </w:t>
      </w:r>
      <w:r w:rsidR="00082995" w:rsidRPr="00082995">
        <w:rPr>
          <w:rFonts w:ascii="Bookman Old Style" w:hAnsi="Bookman Old Style"/>
          <w:sz w:val="22"/>
          <w:szCs w:val="22"/>
        </w:rPr>
        <w:lastRenderedPageBreak/>
        <w:t>all’IRPEF, il cui versamento è ricompreso nel sistema unitario disciplinato dall’articolo 17 del decreto legislativo n. 241 del 1997.</w:t>
      </w:r>
      <w:r w:rsidR="00377585">
        <w:rPr>
          <w:rFonts w:ascii="Bookman Old Style" w:hAnsi="Bookman Old Style"/>
          <w:sz w:val="22"/>
          <w:szCs w:val="22"/>
        </w:rPr>
        <w:t xml:space="preserve"> </w:t>
      </w:r>
      <w:r w:rsidRPr="00FB4466">
        <w:rPr>
          <w:rFonts w:ascii="Bookman Old Style" w:hAnsi="Bookman Old Style"/>
          <w:sz w:val="22"/>
          <w:szCs w:val="22"/>
        </w:rPr>
        <w:t>La disposizione amplia la flessibilità regolamentare e consente di calibrare l’incentivo in relazione alla tipologia di entrata e ai risparmi amministrativi attesi.</w:t>
      </w:r>
    </w:p>
    <w:p w14:paraId="07756B03" w14:textId="77777777" w:rsidR="00FB4466" w:rsidRPr="00D313FE" w:rsidRDefault="00FB4466" w:rsidP="00D313FE">
      <w:pPr>
        <w:pStyle w:val="Titolo2"/>
        <w:rPr>
          <w:rFonts w:ascii="Bookman Old Style" w:hAnsi="Bookman Old Style"/>
          <w:b/>
          <w:bCs/>
          <w:sz w:val="22"/>
          <w:szCs w:val="22"/>
        </w:rPr>
      </w:pPr>
      <w:bookmarkStart w:id="4" w:name="_Toc240375111"/>
      <w:r w:rsidRPr="00D313FE">
        <w:rPr>
          <w:rFonts w:ascii="Bookman Old Style" w:hAnsi="Bookman Old Style"/>
          <w:b/>
          <w:bCs/>
          <w:sz w:val="22"/>
          <w:szCs w:val="22"/>
        </w:rPr>
        <w:t>Articolo 3 – Adempimento spontaneo degli obblighi tributari</w:t>
      </w:r>
      <w:bookmarkEnd w:id="4"/>
    </w:p>
    <w:p w14:paraId="1A494FA2" w14:textId="41B3623E" w:rsidR="006059BE" w:rsidRPr="006059BE" w:rsidRDefault="006059BE" w:rsidP="006059BE">
      <w:pPr>
        <w:jc w:val="both"/>
        <w:rPr>
          <w:rFonts w:ascii="Bookman Old Style" w:hAnsi="Bookman Old Style"/>
          <w:sz w:val="22"/>
          <w:szCs w:val="22"/>
        </w:rPr>
      </w:pPr>
      <w:r w:rsidRPr="006059BE">
        <w:rPr>
          <w:rFonts w:ascii="Bookman Old Style" w:hAnsi="Bookman Old Style"/>
          <w:sz w:val="22"/>
          <w:szCs w:val="22"/>
        </w:rPr>
        <w:t>L’art. 3 introduce due nuovi istituti per favorire l’adempimento spontaneo degli obblighi tributari, ovvero l’invio di lettere di compliance e di avvisi bonari, al pari di quanto disposto per i tributi erariali dall’art. 1, comma 634, della legge 23 dicembre 2014, n. 190.</w:t>
      </w:r>
    </w:p>
    <w:p w14:paraId="0980B69F" w14:textId="77777777" w:rsidR="006059BE" w:rsidRPr="006059BE" w:rsidRDefault="006059BE" w:rsidP="006059BE">
      <w:pPr>
        <w:jc w:val="both"/>
        <w:rPr>
          <w:rFonts w:ascii="Bookman Old Style" w:hAnsi="Bookman Old Style"/>
          <w:sz w:val="22"/>
          <w:szCs w:val="22"/>
        </w:rPr>
      </w:pPr>
      <w:r w:rsidRPr="006059BE">
        <w:rPr>
          <w:rFonts w:ascii="Bookman Old Style" w:hAnsi="Bookman Old Style"/>
          <w:sz w:val="22"/>
          <w:szCs w:val="22"/>
        </w:rPr>
        <w:t>Si prevede che gli enti locali, prima dell’avvio dell’attività di accertamento, possano inviare ai contribuenti comunicazioni che mettano a disposizione degli stessi gli elementi e le informazioni direttamente acquisiti o pervenuti da terzi relativi alla determinazione dell’obbligazione tributaria, allo scopo di consentirne il corretto assolvimento tramite l’istituto del ravvedimento. Il contribuente, ricevuta la comunicazione, può inviare entro i successivi 60 giorni chiarimenti in ordine al contenuto della comunicazione, e può trasmettere ricevute di versamento e altri documenti utili a consentire anche la segnalazione di eventuali dati ed elementi non considerati o valutati erroneamente dall’ente territoriale in sede di controllo. Ovviamente, spirato il termine di 60 giorni senza che vi sia contestazione del contribuente o sanatoria con il ravvedimento operoso, l’ente può procedere alla notifica dell’atto di accertamento esecutivo.</w:t>
      </w:r>
    </w:p>
    <w:p w14:paraId="29EAB127" w14:textId="5D3A1845" w:rsidR="006059BE" w:rsidRPr="006059BE" w:rsidRDefault="006059BE" w:rsidP="006059BE">
      <w:pPr>
        <w:jc w:val="both"/>
        <w:rPr>
          <w:rFonts w:ascii="Bookman Old Style" w:hAnsi="Bookman Old Style"/>
          <w:sz w:val="22"/>
          <w:szCs w:val="22"/>
        </w:rPr>
      </w:pPr>
      <w:r w:rsidRPr="006059BE">
        <w:rPr>
          <w:rFonts w:ascii="Bookman Old Style" w:hAnsi="Bookman Old Style"/>
          <w:sz w:val="22"/>
          <w:szCs w:val="22"/>
        </w:rPr>
        <w:t>La norma non fa riferimento ad una fattispecie evasiva specifica</w:t>
      </w:r>
      <w:r w:rsidR="000205F3">
        <w:rPr>
          <w:rFonts w:ascii="Bookman Old Style" w:hAnsi="Bookman Old Style"/>
          <w:sz w:val="22"/>
          <w:szCs w:val="22"/>
        </w:rPr>
        <w:t>.</w:t>
      </w:r>
      <w:r w:rsidR="00E430DF">
        <w:rPr>
          <w:rFonts w:ascii="Bookman Old Style" w:hAnsi="Bookman Old Style"/>
          <w:sz w:val="22"/>
          <w:szCs w:val="22"/>
        </w:rPr>
        <w:t xml:space="preserve"> </w:t>
      </w:r>
      <w:r w:rsidR="00C11E4E" w:rsidRPr="00C11E4E">
        <w:rPr>
          <w:rFonts w:ascii="Bookman Old Style" w:hAnsi="Bookman Old Style"/>
          <w:sz w:val="22"/>
          <w:szCs w:val="22"/>
        </w:rPr>
        <w:t>S</w:t>
      </w:r>
      <w:r w:rsidRPr="00C11E4E">
        <w:rPr>
          <w:rFonts w:ascii="Bookman Old Style" w:hAnsi="Bookman Old Style"/>
          <w:sz w:val="22"/>
          <w:szCs w:val="22"/>
        </w:rPr>
        <w:t>i</w:t>
      </w:r>
      <w:r w:rsidRPr="006059BE">
        <w:rPr>
          <w:rFonts w:ascii="Bookman Old Style" w:hAnsi="Bookman Old Style"/>
          <w:sz w:val="22"/>
          <w:szCs w:val="22"/>
        </w:rPr>
        <w:t xml:space="preserve"> deve </w:t>
      </w:r>
      <w:r w:rsidR="00C11E4E">
        <w:rPr>
          <w:rFonts w:ascii="Bookman Old Style" w:hAnsi="Bookman Old Style"/>
          <w:sz w:val="22"/>
          <w:szCs w:val="22"/>
        </w:rPr>
        <w:t xml:space="preserve">pertanto </w:t>
      </w:r>
      <w:r w:rsidRPr="006059BE">
        <w:rPr>
          <w:rFonts w:ascii="Bookman Old Style" w:hAnsi="Bookman Old Style"/>
          <w:sz w:val="22"/>
          <w:szCs w:val="22"/>
        </w:rPr>
        <w:t>ritenere che la comunicazione possa riguardare tanto gli omessi versamenti tanto le infedeli od omesse dichiarazioni.</w:t>
      </w:r>
    </w:p>
    <w:p w14:paraId="2B9AF245" w14:textId="77777777" w:rsidR="006059BE" w:rsidRPr="006059BE" w:rsidRDefault="006059BE" w:rsidP="006059BE">
      <w:pPr>
        <w:jc w:val="both"/>
        <w:rPr>
          <w:rFonts w:ascii="Bookman Old Style" w:hAnsi="Bookman Old Style"/>
          <w:sz w:val="22"/>
          <w:szCs w:val="22"/>
        </w:rPr>
      </w:pPr>
      <w:r w:rsidRPr="006059BE">
        <w:rPr>
          <w:rFonts w:ascii="Bookman Old Style" w:hAnsi="Bookman Old Style"/>
          <w:sz w:val="22"/>
          <w:szCs w:val="22"/>
        </w:rPr>
        <w:t xml:space="preserve">È prevista anche la possibilità per gli enti territoriali di inviare ai contribuenti avvisi bonari per permettere la regolarizzazione di tardivi, parziali od omessi versamenti, prevedendo l’applicazione di una sanzione ridotta determinata dal Comune. </w:t>
      </w:r>
    </w:p>
    <w:p w14:paraId="724D1762" w14:textId="2816C566" w:rsidR="006059BE" w:rsidRPr="006059BE" w:rsidRDefault="006059BE" w:rsidP="006059BE">
      <w:pPr>
        <w:jc w:val="both"/>
        <w:rPr>
          <w:rFonts w:ascii="Bookman Old Style" w:hAnsi="Bookman Old Style"/>
          <w:sz w:val="22"/>
          <w:szCs w:val="22"/>
        </w:rPr>
      </w:pPr>
      <w:r w:rsidRPr="006059BE">
        <w:rPr>
          <w:rFonts w:ascii="Bookman Old Style" w:hAnsi="Bookman Old Style"/>
          <w:sz w:val="22"/>
          <w:szCs w:val="22"/>
        </w:rPr>
        <w:t>L’ipotesi contemplata in questo caso è quella di una violazione certa, relativa al versamento, che permetta una regolarizzazione, entro un termine stabilito dall’ente, con una sanzione ridotta stabilita dal Comune. La disposizione, infatti, rinvia all’art. 13, comma 5, del d.lgs. n. 472 del 1997, il quale, nel disciplinare l’istituto del ravvedimento operoso, prevede anche, ad integrazione di quanto previsto nel medesimo art. 13, la possibilità di stabilire ulteriori circostanze che importino l’attenuazione della sanzione. Il rinvio all’art. 13 lascia intendere che la sanzione che dovrà essere individuata dal Comune dovrà essere inferiore a quella ordinariamente applicabile in sede di ravvedimento operoso per gli omessi, parziali o tardivi versamenti. Non sembra ammissibile, invece, l’esclusione totale dell</w:t>
      </w:r>
      <w:r w:rsidR="00D271A9">
        <w:rPr>
          <w:rFonts w:ascii="Bookman Old Style" w:hAnsi="Bookman Old Style"/>
          <w:sz w:val="22"/>
          <w:szCs w:val="22"/>
        </w:rPr>
        <w:t>e</w:t>
      </w:r>
      <w:r w:rsidRPr="006059BE">
        <w:rPr>
          <w:rFonts w:ascii="Bookman Old Style" w:hAnsi="Bookman Old Style"/>
          <w:sz w:val="22"/>
          <w:szCs w:val="22"/>
        </w:rPr>
        <w:t xml:space="preserve"> sanzioni, non espressamente contemplata dalla norma primaria. D’altro canto, la previsione di una sanzione maggiore di quella applicabile in sede di ravvedimento operoso non avrebbe alcun senso logico, visto che il medesimo d.lgs. n. 147 del 2026 è intervenuto anche sull’art. 13, d.lgs. n. 472 del 1997, eliminando anche per gli enti locali, come già previsto per l’Agenzia delle entrate, il divieto al ricorso dell’istituto del ravvedimento operoso allorquando siano iniziate attività di controllo, com’è, appunto, la notifica di un avviso bonario. Sicché, il rinvio all’art. 13, comma 5, d.lgs. n. 472 del 1997, ha un senso logico se interpretato nel senso che il Comune possa prevedere l’applicazione di una sanzione inferiore a quella applicabile in via ordinaria per il ravvedimento operoso.</w:t>
      </w:r>
    </w:p>
    <w:p w14:paraId="1286EE09" w14:textId="77777777" w:rsidR="006059BE" w:rsidRPr="006059BE" w:rsidRDefault="006059BE" w:rsidP="006059BE">
      <w:pPr>
        <w:jc w:val="both"/>
        <w:rPr>
          <w:rFonts w:ascii="Bookman Old Style" w:hAnsi="Bookman Old Style"/>
          <w:sz w:val="22"/>
          <w:szCs w:val="22"/>
        </w:rPr>
      </w:pPr>
      <w:r w:rsidRPr="006059BE">
        <w:rPr>
          <w:rFonts w:ascii="Bookman Old Style" w:hAnsi="Bookman Old Style"/>
          <w:sz w:val="22"/>
          <w:szCs w:val="22"/>
        </w:rPr>
        <w:lastRenderedPageBreak/>
        <w:t>L’obiettivo di questi nuovi istituti è quello di velocizzare la riscossione delle somme non corrisposte nei termini dal contribuente, riconoscendogli un alleggerimento del carico sanzionatorio, ed al contempo di ridurre il rischio di contenzioso, oltre ad evitare il ricorso alla fase dell’accertamento.</w:t>
      </w:r>
    </w:p>
    <w:p w14:paraId="5D66843E" w14:textId="6585C5A7" w:rsidR="006059BE" w:rsidRPr="006059BE" w:rsidRDefault="006059BE" w:rsidP="006059BE">
      <w:pPr>
        <w:jc w:val="both"/>
        <w:rPr>
          <w:rFonts w:ascii="Bookman Old Style" w:hAnsi="Bookman Old Style"/>
          <w:sz w:val="22"/>
          <w:szCs w:val="22"/>
        </w:rPr>
      </w:pPr>
      <w:r w:rsidRPr="006059BE">
        <w:rPr>
          <w:rFonts w:ascii="Bookman Old Style" w:hAnsi="Bookman Old Style"/>
          <w:sz w:val="22"/>
          <w:szCs w:val="22"/>
        </w:rPr>
        <w:t xml:space="preserve">Si tratta di strumenti di sollecitazione al pagamento che comportano una riduzione del carico sanzionatorio, e come tali devono essere recepiti in un regolamento comunale, anche considerando che la disposizione prevede una possibilità e non un obbligo al loro utilizzo, </w:t>
      </w:r>
      <w:r w:rsidR="0010456B">
        <w:rPr>
          <w:rFonts w:ascii="Bookman Old Style" w:hAnsi="Bookman Old Style"/>
          <w:sz w:val="22"/>
          <w:szCs w:val="22"/>
        </w:rPr>
        <w:t xml:space="preserve">non potendosi rimettere </w:t>
      </w:r>
      <w:r w:rsidRPr="006059BE">
        <w:rPr>
          <w:rFonts w:ascii="Bookman Old Style" w:hAnsi="Bookman Old Style"/>
          <w:sz w:val="22"/>
          <w:szCs w:val="22"/>
        </w:rPr>
        <w:t xml:space="preserve">al funzionario responsabile del tributo la decisione del se e a chi inviare le comunicazioni. Il Comune potrebbe decidere di applicare tali nuovi istituti a tutti i tributi comunali (IMU, TARI, CUP, imposta di soggiorno), modificando, ad esempio, il regolamento generale delle entrate, oppure prevederne l’applicazione solo </w:t>
      </w:r>
      <w:r w:rsidR="0010456B" w:rsidRPr="006059BE">
        <w:rPr>
          <w:rFonts w:ascii="Bookman Old Style" w:hAnsi="Bookman Old Style"/>
          <w:sz w:val="22"/>
          <w:szCs w:val="22"/>
        </w:rPr>
        <w:t xml:space="preserve">per </w:t>
      </w:r>
      <w:r w:rsidRPr="006059BE">
        <w:rPr>
          <w:rFonts w:ascii="Bookman Old Style" w:hAnsi="Bookman Old Style"/>
          <w:sz w:val="22"/>
          <w:szCs w:val="22"/>
        </w:rPr>
        <w:t>alcuni tributi.</w:t>
      </w:r>
    </w:p>
    <w:p w14:paraId="40EC2879" w14:textId="1E9C6186" w:rsidR="006059BE" w:rsidRPr="006059BE" w:rsidRDefault="006059BE" w:rsidP="006059BE">
      <w:pPr>
        <w:jc w:val="both"/>
        <w:rPr>
          <w:rFonts w:ascii="Bookman Old Style" w:hAnsi="Bookman Old Style"/>
          <w:sz w:val="22"/>
          <w:szCs w:val="22"/>
        </w:rPr>
      </w:pPr>
      <w:r w:rsidRPr="006059BE">
        <w:rPr>
          <w:rFonts w:ascii="Bookman Old Style" w:hAnsi="Bookman Old Style"/>
          <w:sz w:val="22"/>
          <w:szCs w:val="22"/>
        </w:rPr>
        <w:t>In particolare</w:t>
      </w:r>
      <w:r w:rsidR="00BB5149">
        <w:rPr>
          <w:rFonts w:ascii="Bookman Old Style" w:hAnsi="Bookman Old Style"/>
          <w:sz w:val="22"/>
          <w:szCs w:val="22"/>
        </w:rPr>
        <w:t>,</w:t>
      </w:r>
      <w:r w:rsidRPr="006059BE">
        <w:rPr>
          <w:rFonts w:ascii="Bookman Old Style" w:hAnsi="Bookman Old Style"/>
          <w:sz w:val="22"/>
          <w:szCs w:val="22"/>
        </w:rPr>
        <w:t xml:space="preserve"> occorre tener conto che questi strumenti determinano non solo la perdita di gettito conseguente alla riduzione del carico sanzionatorio, ma nel caso dell’IMU anche della quota statale, che in caso di accertamento spetta interamente all’ente comunale.</w:t>
      </w:r>
    </w:p>
    <w:p w14:paraId="5411FD6A" w14:textId="77777777" w:rsidR="006059BE" w:rsidRPr="00FB4466" w:rsidRDefault="006059BE" w:rsidP="00FB4466">
      <w:pPr>
        <w:jc w:val="both"/>
        <w:rPr>
          <w:rFonts w:ascii="Bookman Old Style" w:hAnsi="Bookman Old Style"/>
          <w:sz w:val="22"/>
          <w:szCs w:val="22"/>
        </w:rPr>
      </w:pPr>
    </w:p>
    <w:p w14:paraId="69CD2BE9" w14:textId="77777777" w:rsidR="00FB4466" w:rsidRPr="00D313FE" w:rsidRDefault="00FB4466" w:rsidP="00D313FE">
      <w:pPr>
        <w:pStyle w:val="Titolo2"/>
        <w:rPr>
          <w:rFonts w:ascii="Bookman Old Style" w:hAnsi="Bookman Old Style"/>
          <w:b/>
          <w:bCs/>
          <w:sz w:val="22"/>
          <w:szCs w:val="22"/>
        </w:rPr>
      </w:pPr>
      <w:bookmarkStart w:id="5" w:name="_Toc240375112"/>
      <w:r w:rsidRPr="00D313FE">
        <w:rPr>
          <w:rFonts w:ascii="Bookman Old Style" w:hAnsi="Bookman Old Style"/>
          <w:b/>
          <w:bCs/>
          <w:sz w:val="22"/>
          <w:szCs w:val="22"/>
        </w:rPr>
        <w:t>Articolo 4 – Estensione degli istituti del Codice della crisi ai tributi territoriali</w:t>
      </w:r>
      <w:bookmarkEnd w:id="5"/>
    </w:p>
    <w:p w14:paraId="7F1A685A" w14:textId="0D449B40" w:rsidR="00FB4466" w:rsidRPr="001D3BE5" w:rsidRDefault="00FB4466" w:rsidP="00FB4466">
      <w:pPr>
        <w:jc w:val="both"/>
        <w:rPr>
          <w:rFonts w:ascii="Bookman Old Style" w:hAnsi="Bookman Old Style"/>
          <w:sz w:val="22"/>
          <w:szCs w:val="22"/>
        </w:rPr>
      </w:pPr>
      <w:r w:rsidRPr="001D3BE5">
        <w:rPr>
          <w:rFonts w:ascii="Bookman Old Style" w:hAnsi="Bookman Old Style"/>
          <w:sz w:val="22"/>
          <w:szCs w:val="22"/>
        </w:rPr>
        <w:t>La disposizione estende espressamente ai crediti tributari delle regioni e degli enti locali gli istituti previsti dal Codice della crisi d’impresa e dell’insolvenza. Gli enti territoriali entrano quindi nel perimetro degli accordi e delle proposte aventi a oggetto il pagamento parziale o dilazionato dei debiti tributari</w:t>
      </w:r>
      <w:r w:rsidR="00D772FC">
        <w:rPr>
          <w:rFonts w:ascii="Bookman Old Style" w:hAnsi="Bookman Old Style"/>
          <w:sz w:val="22"/>
          <w:szCs w:val="22"/>
        </w:rPr>
        <w:t>,</w:t>
      </w:r>
      <w:r w:rsidR="00333569" w:rsidRPr="001D3BE5">
        <w:rPr>
          <w:rFonts w:ascii="Bookman Old Style" w:hAnsi="Bookman Old Style"/>
          <w:sz w:val="22"/>
          <w:szCs w:val="22"/>
        </w:rPr>
        <w:t xml:space="preserve"> finora previsti dal Codice solo per </w:t>
      </w:r>
      <w:r w:rsidR="00D432D0" w:rsidRPr="001D3BE5">
        <w:rPr>
          <w:rFonts w:ascii="Bookman Old Style" w:hAnsi="Bookman Old Style"/>
          <w:sz w:val="22"/>
          <w:szCs w:val="22"/>
        </w:rPr>
        <w:t>i tributi erariali</w:t>
      </w:r>
      <w:r w:rsidRPr="001D3BE5">
        <w:rPr>
          <w:rFonts w:ascii="Bookman Old Style" w:hAnsi="Bookman Old Style"/>
          <w:sz w:val="22"/>
          <w:szCs w:val="22"/>
        </w:rPr>
        <w:t>.</w:t>
      </w:r>
      <w:r w:rsidR="0052591F" w:rsidRPr="001D3BE5">
        <w:rPr>
          <w:rFonts w:ascii="Bookman Old Style" w:hAnsi="Bookman Old Style"/>
          <w:sz w:val="22"/>
          <w:szCs w:val="22"/>
        </w:rPr>
        <w:t xml:space="preserve"> La misura consente di acquisire quote di entrate </w:t>
      </w:r>
      <w:r w:rsidR="00113155" w:rsidRPr="001D3BE5">
        <w:rPr>
          <w:rFonts w:ascii="Bookman Old Style" w:hAnsi="Bookman Old Style"/>
          <w:sz w:val="22"/>
          <w:szCs w:val="22"/>
        </w:rPr>
        <w:t xml:space="preserve">ridotte, ma altrimenti </w:t>
      </w:r>
      <w:r w:rsidR="00F2228E" w:rsidRPr="001D3BE5">
        <w:rPr>
          <w:rFonts w:ascii="Bookman Old Style" w:hAnsi="Bookman Old Style"/>
          <w:sz w:val="22"/>
          <w:szCs w:val="22"/>
        </w:rPr>
        <w:t xml:space="preserve">difficilmente recuperabili </w:t>
      </w:r>
      <w:r w:rsidR="00D772FC">
        <w:rPr>
          <w:rFonts w:ascii="Bookman Old Style" w:hAnsi="Bookman Old Style"/>
          <w:sz w:val="22"/>
          <w:szCs w:val="22"/>
        </w:rPr>
        <w:t xml:space="preserve">in quanto </w:t>
      </w:r>
      <w:r w:rsidR="00113155" w:rsidRPr="001D3BE5">
        <w:rPr>
          <w:rFonts w:ascii="Bookman Old Style" w:hAnsi="Bookman Old Style"/>
          <w:sz w:val="22"/>
          <w:szCs w:val="22"/>
        </w:rPr>
        <w:t xml:space="preserve">con scarse o nulle probabilità di </w:t>
      </w:r>
      <w:r w:rsidR="005B0806">
        <w:rPr>
          <w:rFonts w:ascii="Bookman Old Style" w:hAnsi="Bookman Old Style"/>
          <w:sz w:val="22"/>
          <w:szCs w:val="22"/>
        </w:rPr>
        <w:t>incasso</w:t>
      </w:r>
      <w:r w:rsidR="00BE3A4D" w:rsidRPr="001D3BE5">
        <w:rPr>
          <w:rFonts w:ascii="Bookman Old Style" w:hAnsi="Bookman Old Style"/>
          <w:sz w:val="22"/>
          <w:szCs w:val="22"/>
        </w:rPr>
        <w:t>.</w:t>
      </w:r>
    </w:p>
    <w:p w14:paraId="51FBF16B" w14:textId="30A5A59D" w:rsidR="00EE7001" w:rsidRPr="00DB450E" w:rsidRDefault="001E1098" w:rsidP="00EE7001">
      <w:pPr>
        <w:jc w:val="both"/>
        <w:rPr>
          <w:rFonts w:ascii="Bookman Old Style" w:hAnsi="Bookman Old Style"/>
          <w:sz w:val="22"/>
          <w:szCs w:val="22"/>
        </w:rPr>
      </w:pPr>
      <w:r>
        <w:rPr>
          <w:rFonts w:ascii="Bookman Old Style" w:hAnsi="Bookman Old Style"/>
          <w:sz w:val="22"/>
          <w:szCs w:val="22"/>
        </w:rPr>
        <w:t>In particolare, l</w:t>
      </w:r>
      <w:r w:rsidR="00EE7001" w:rsidRPr="00DB450E">
        <w:rPr>
          <w:rFonts w:ascii="Bookman Old Style" w:hAnsi="Bookman Old Style"/>
          <w:sz w:val="22"/>
          <w:szCs w:val="22"/>
        </w:rPr>
        <w:t>’art. 4 del d.lgs. n. 147 del 2026 risolve l’annoso problema sulla inclusione nella cd. “transazione fiscale” dei debiti relativi ai tributi (e ai relativi accessori) di cui sono titolari gli enti locali (</w:t>
      </w:r>
      <w:r w:rsidR="00C07808">
        <w:rPr>
          <w:rFonts w:ascii="Bookman Old Style" w:hAnsi="Bookman Old Style"/>
          <w:sz w:val="22"/>
          <w:szCs w:val="22"/>
        </w:rPr>
        <w:t>C</w:t>
      </w:r>
      <w:r w:rsidR="00C07808" w:rsidRPr="00DB450E">
        <w:rPr>
          <w:rFonts w:ascii="Bookman Old Style" w:hAnsi="Bookman Old Style"/>
          <w:sz w:val="22"/>
          <w:szCs w:val="22"/>
        </w:rPr>
        <w:t>omuni</w:t>
      </w:r>
      <w:r w:rsidR="00EE7001" w:rsidRPr="00DB450E">
        <w:rPr>
          <w:rFonts w:ascii="Bookman Old Style" w:hAnsi="Bookman Old Style"/>
          <w:sz w:val="22"/>
          <w:szCs w:val="22"/>
        </w:rPr>
        <w:t xml:space="preserve">, </w:t>
      </w:r>
      <w:r w:rsidR="00C07808">
        <w:rPr>
          <w:rFonts w:ascii="Bookman Old Style" w:hAnsi="Bookman Old Style"/>
          <w:sz w:val="22"/>
          <w:szCs w:val="22"/>
        </w:rPr>
        <w:t>C</w:t>
      </w:r>
      <w:r w:rsidR="00C07808" w:rsidRPr="00DB450E">
        <w:rPr>
          <w:rFonts w:ascii="Bookman Old Style" w:hAnsi="Bookman Old Style"/>
          <w:sz w:val="22"/>
          <w:szCs w:val="22"/>
        </w:rPr>
        <w:t xml:space="preserve">ittà </w:t>
      </w:r>
      <w:r w:rsidR="00EE7001" w:rsidRPr="00DB450E">
        <w:rPr>
          <w:rFonts w:ascii="Bookman Old Style" w:hAnsi="Bookman Old Style"/>
          <w:sz w:val="22"/>
          <w:szCs w:val="22"/>
        </w:rPr>
        <w:t xml:space="preserve">metropolitane e </w:t>
      </w:r>
      <w:r w:rsidR="00C07808">
        <w:rPr>
          <w:rFonts w:ascii="Bookman Old Style" w:hAnsi="Bookman Old Style"/>
          <w:sz w:val="22"/>
          <w:szCs w:val="22"/>
        </w:rPr>
        <w:t>P</w:t>
      </w:r>
      <w:r w:rsidR="00C07808" w:rsidRPr="00DB450E">
        <w:rPr>
          <w:rFonts w:ascii="Bookman Old Style" w:hAnsi="Bookman Old Style"/>
          <w:sz w:val="22"/>
          <w:szCs w:val="22"/>
        </w:rPr>
        <w:t>rovince</w:t>
      </w:r>
      <w:r w:rsidR="00EE7001" w:rsidRPr="00DB450E">
        <w:rPr>
          <w:rFonts w:ascii="Bookman Old Style" w:hAnsi="Bookman Old Style"/>
          <w:sz w:val="22"/>
          <w:szCs w:val="22"/>
        </w:rPr>
        <w:t>), anche alla luce di pareri della Corte dei conti (cfr. Corte dei conti, S</w:t>
      </w:r>
      <w:r w:rsidR="00CA5D3C">
        <w:rPr>
          <w:rFonts w:ascii="Bookman Old Style" w:hAnsi="Bookman Old Style"/>
          <w:sz w:val="22"/>
          <w:szCs w:val="22"/>
        </w:rPr>
        <w:t xml:space="preserve">.R. </w:t>
      </w:r>
      <w:r w:rsidR="00EE7001" w:rsidRPr="00DB450E">
        <w:rPr>
          <w:rFonts w:ascii="Bookman Old Style" w:hAnsi="Bookman Old Style"/>
          <w:sz w:val="22"/>
          <w:szCs w:val="22"/>
        </w:rPr>
        <w:t xml:space="preserve">di controllo Lombardia, </w:t>
      </w:r>
      <w:r w:rsidR="00CA5D3C" w:rsidRPr="00DB450E">
        <w:rPr>
          <w:rFonts w:ascii="Bookman Old Style" w:hAnsi="Bookman Old Style"/>
          <w:sz w:val="22"/>
          <w:szCs w:val="22"/>
        </w:rPr>
        <w:t>del</w:t>
      </w:r>
      <w:r w:rsidR="00CA5D3C">
        <w:rPr>
          <w:rFonts w:ascii="Bookman Old Style" w:hAnsi="Bookman Old Style"/>
          <w:sz w:val="22"/>
          <w:szCs w:val="22"/>
        </w:rPr>
        <w:t xml:space="preserve">. </w:t>
      </w:r>
      <w:r w:rsidR="00EE7001" w:rsidRPr="00DB450E">
        <w:rPr>
          <w:rFonts w:ascii="Bookman Old Style" w:hAnsi="Bookman Old Style"/>
          <w:sz w:val="22"/>
          <w:szCs w:val="22"/>
        </w:rPr>
        <w:t>256/2024/PAR del 24</w:t>
      </w:r>
      <w:r w:rsidR="00A44E81">
        <w:rPr>
          <w:rFonts w:ascii="Bookman Old Style" w:hAnsi="Bookman Old Style"/>
          <w:sz w:val="22"/>
          <w:szCs w:val="22"/>
        </w:rPr>
        <w:t>/12/</w:t>
      </w:r>
      <w:r w:rsidR="00EE7001" w:rsidRPr="00DB450E">
        <w:rPr>
          <w:rFonts w:ascii="Bookman Old Style" w:hAnsi="Bookman Old Style"/>
          <w:sz w:val="22"/>
          <w:szCs w:val="22"/>
        </w:rPr>
        <w:t xml:space="preserve">2024), fondati sulla indisponibilità del prelievo tributario e </w:t>
      </w:r>
      <w:r w:rsidR="00A44E81" w:rsidRPr="00DB450E">
        <w:rPr>
          <w:rFonts w:ascii="Bookman Old Style" w:hAnsi="Bookman Old Style"/>
          <w:sz w:val="22"/>
          <w:szCs w:val="22"/>
        </w:rPr>
        <w:t>sul</w:t>
      </w:r>
      <w:r w:rsidR="00A44E81">
        <w:rPr>
          <w:rFonts w:ascii="Bookman Old Style" w:hAnsi="Bookman Old Style"/>
          <w:sz w:val="22"/>
          <w:szCs w:val="22"/>
        </w:rPr>
        <w:t xml:space="preserve"> </w:t>
      </w:r>
      <w:r w:rsidR="00EE7001" w:rsidRPr="00DB450E">
        <w:rPr>
          <w:rFonts w:ascii="Bookman Old Style" w:hAnsi="Bookman Old Style"/>
          <w:sz w:val="22"/>
          <w:szCs w:val="22"/>
        </w:rPr>
        <w:t xml:space="preserve">mancato richiamo espresso agli enti locali, considerato che nella composizione negoziata della crisi, nell’accordo di ristrutturazione dei debiti, nel concordato preventivo e nel piano di ristrutturazione soggetto a omologazione, disciplinati nel “Codice della crisi di impresa e dell'insolvenza” (CCII), la normativa fa espresso riferimento solo </w:t>
      </w:r>
      <w:r w:rsidR="00775EE3">
        <w:rPr>
          <w:rFonts w:ascii="Bookman Old Style" w:hAnsi="Bookman Old Style"/>
          <w:sz w:val="22"/>
          <w:szCs w:val="22"/>
        </w:rPr>
        <w:t>a</w:t>
      </w:r>
      <w:r w:rsidR="00EE7001" w:rsidRPr="00DB450E">
        <w:rPr>
          <w:rFonts w:ascii="Bookman Old Style" w:hAnsi="Bookman Old Style"/>
          <w:sz w:val="22"/>
          <w:szCs w:val="22"/>
        </w:rPr>
        <w:t xml:space="preserve">i tributi erariali, in quanto amministrati dall’Agenzia delle entrate o dall’Agenzia delle dogane, e i tributi diversi da quelli erariali che, pur essendo di spettanza di altri enti, siano amministrati da tali agenzie fiscali </w:t>
      </w:r>
      <w:r w:rsidR="00EE7001" w:rsidRPr="004725B5">
        <w:rPr>
          <w:rFonts w:ascii="Bookman Old Style" w:hAnsi="Bookman Old Style"/>
          <w:i/>
          <w:iCs/>
          <w:sz w:val="22"/>
          <w:szCs w:val="22"/>
        </w:rPr>
        <w:t>ex lege</w:t>
      </w:r>
      <w:r w:rsidR="00EE7001" w:rsidRPr="00DB450E">
        <w:rPr>
          <w:rFonts w:ascii="Bookman Old Style" w:hAnsi="Bookman Old Style"/>
          <w:sz w:val="22"/>
          <w:szCs w:val="22"/>
        </w:rPr>
        <w:t xml:space="preserve"> oppure sulla base di una convenzione stipulata con il soggetto attivo del tributo ai sensi dell’art. 57 del d.lgs. n. 300/1999.</w:t>
      </w:r>
    </w:p>
    <w:p w14:paraId="49697375" w14:textId="2C28D46B" w:rsidR="00EE7001" w:rsidRPr="00DB450E" w:rsidRDefault="00EE7001" w:rsidP="00EE7001">
      <w:pPr>
        <w:jc w:val="both"/>
        <w:rPr>
          <w:rFonts w:ascii="Bookman Old Style" w:hAnsi="Bookman Old Style"/>
          <w:sz w:val="22"/>
          <w:szCs w:val="22"/>
        </w:rPr>
      </w:pPr>
      <w:r w:rsidRPr="00DB450E">
        <w:rPr>
          <w:rFonts w:ascii="Bookman Old Style" w:hAnsi="Bookman Old Style"/>
          <w:sz w:val="22"/>
          <w:szCs w:val="22"/>
        </w:rPr>
        <w:t xml:space="preserve">La relazione illustrativa evidenza come la disposizione in commento supera un’evidente contraddizione interna al </w:t>
      </w:r>
      <w:r w:rsidR="00045A5E">
        <w:rPr>
          <w:rFonts w:ascii="Bookman Old Style" w:hAnsi="Bookman Old Style"/>
          <w:sz w:val="22"/>
          <w:szCs w:val="22"/>
        </w:rPr>
        <w:t>Codice d’impresa</w:t>
      </w:r>
      <w:r w:rsidR="00321AFB">
        <w:rPr>
          <w:rFonts w:ascii="Bookman Old Style" w:hAnsi="Bookman Old Style"/>
          <w:sz w:val="22"/>
          <w:szCs w:val="22"/>
        </w:rPr>
        <w:t>,</w:t>
      </w:r>
      <w:r w:rsidRPr="00DB450E">
        <w:rPr>
          <w:rFonts w:ascii="Bookman Old Style" w:hAnsi="Bookman Old Style"/>
          <w:sz w:val="22"/>
          <w:szCs w:val="22"/>
        </w:rPr>
        <w:t xml:space="preserve"> in quanto negare l’adesione agli istituti finalizzati alla risoluzione della crisi dell’impresa imporrebbe il pagamento integrale di tali crediti, concretizzandosi così l’assurdo risultato per cui l’ordinamento giuridico garantirebbe ai tributi locali un trattamento migliore rispetto ai crediti erariali, sebbene i primi siano normalmente assistiti da un grado di privilegio inferiore. </w:t>
      </w:r>
    </w:p>
    <w:p w14:paraId="6D7F2452" w14:textId="77777777" w:rsidR="00EE7001" w:rsidRPr="00DB450E" w:rsidRDefault="00EE7001" w:rsidP="00EE7001">
      <w:pPr>
        <w:jc w:val="both"/>
        <w:rPr>
          <w:rFonts w:ascii="Bookman Old Style" w:hAnsi="Bookman Old Style"/>
          <w:sz w:val="22"/>
          <w:szCs w:val="22"/>
        </w:rPr>
      </w:pPr>
      <w:r w:rsidRPr="00DB450E">
        <w:rPr>
          <w:rFonts w:ascii="Bookman Old Style" w:hAnsi="Bookman Old Style"/>
          <w:sz w:val="22"/>
          <w:szCs w:val="22"/>
        </w:rPr>
        <w:lastRenderedPageBreak/>
        <w:t>Con le nuove disposizioni la possibilità di “falcidiare” i debiti relativi ai tributi dei Comuni viene introdotta nella composizione negoziata della crisi (con la modifica del comma 2-</w:t>
      </w:r>
      <w:r w:rsidRPr="004D71B7">
        <w:rPr>
          <w:rFonts w:ascii="Bookman Old Style" w:hAnsi="Bookman Old Style"/>
          <w:i/>
          <w:iCs/>
          <w:sz w:val="22"/>
          <w:szCs w:val="22"/>
        </w:rPr>
        <w:t>bis</w:t>
      </w:r>
      <w:r w:rsidRPr="00DB450E">
        <w:rPr>
          <w:rFonts w:ascii="Bookman Old Style" w:hAnsi="Bookman Old Style"/>
          <w:sz w:val="22"/>
          <w:szCs w:val="22"/>
        </w:rPr>
        <w:t xml:space="preserve"> dell’art. 23 CCII), nell’accordo di ristrutturazione dei debiti (con la modifica dell’art. 63 CCII), nel concordato preventivo (con la modifica dell’art. 88 CCII) e nel piano di ristrutturazione soggetto a omologazione (con la modifica del comma 1-</w:t>
      </w:r>
      <w:r w:rsidRPr="004725B5">
        <w:rPr>
          <w:rFonts w:ascii="Bookman Old Style" w:hAnsi="Bookman Old Style"/>
          <w:i/>
          <w:iCs/>
          <w:sz w:val="22"/>
          <w:szCs w:val="22"/>
        </w:rPr>
        <w:t>bis</w:t>
      </w:r>
      <w:r w:rsidRPr="00DB450E">
        <w:rPr>
          <w:rFonts w:ascii="Bookman Old Style" w:hAnsi="Bookman Old Style"/>
          <w:sz w:val="22"/>
          <w:szCs w:val="22"/>
        </w:rPr>
        <w:t xml:space="preserve"> dell’art. 64-</w:t>
      </w:r>
      <w:r w:rsidRPr="004725B5">
        <w:rPr>
          <w:rFonts w:ascii="Bookman Old Style" w:hAnsi="Bookman Old Style"/>
          <w:i/>
          <w:iCs/>
          <w:sz w:val="22"/>
          <w:szCs w:val="22"/>
        </w:rPr>
        <w:t>bis</w:t>
      </w:r>
      <w:r w:rsidRPr="00DB450E">
        <w:rPr>
          <w:rFonts w:ascii="Bookman Old Style" w:hAnsi="Bookman Old Style"/>
          <w:sz w:val="22"/>
          <w:szCs w:val="22"/>
        </w:rPr>
        <w:t xml:space="preserve"> CCII). </w:t>
      </w:r>
    </w:p>
    <w:p w14:paraId="33223550" w14:textId="5DCF4955" w:rsidR="00FB4466" w:rsidRPr="00DB450E" w:rsidRDefault="00EE7001" w:rsidP="00FB4466">
      <w:pPr>
        <w:jc w:val="both"/>
        <w:rPr>
          <w:rFonts w:ascii="Bookman Old Style" w:hAnsi="Bookman Old Style"/>
          <w:strike/>
          <w:sz w:val="22"/>
          <w:szCs w:val="22"/>
        </w:rPr>
      </w:pPr>
      <w:r w:rsidRPr="00EE7001">
        <w:rPr>
          <w:rFonts w:ascii="Bookman Old Style" w:hAnsi="Bookman Old Style"/>
          <w:sz w:val="22"/>
          <w:szCs w:val="22"/>
        </w:rPr>
        <w:t>Le nuove disposizioni prevedono che g</w:t>
      </w:r>
      <w:r w:rsidR="00FB4466" w:rsidRPr="00EE7001">
        <w:rPr>
          <w:rFonts w:ascii="Bookman Old Style" w:hAnsi="Bookman Old Style"/>
          <w:sz w:val="22"/>
          <w:szCs w:val="22"/>
        </w:rPr>
        <w:t>li</w:t>
      </w:r>
      <w:r w:rsidR="00FB4466" w:rsidRPr="00DB450E">
        <w:rPr>
          <w:rFonts w:ascii="Bookman Old Style" w:hAnsi="Bookman Old Style"/>
          <w:sz w:val="20"/>
          <w:szCs w:val="20"/>
        </w:rPr>
        <w:t xml:space="preserve"> </w:t>
      </w:r>
      <w:r w:rsidR="00FB4466" w:rsidRPr="00FB4466">
        <w:rPr>
          <w:rFonts w:ascii="Bookman Old Style" w:hAnsi="Bookman Old Style"/>
          <w:sz w:val="22"/>
          <w:szCs w:val="22"/>
        </w:rPr>
        <w:t xml:space="preserve">accordi, l’espressione del voto e gli altri atti richiesti dalle procedure devono essere sottoscritti dal soggetto competente secondo l’ordinamento del singolo ente. </w:t>
      </w:r>
    </w:p>
    <w:p w14:paraId="42641834" w14:textId="3477CFF6" w:rsidR="00FB4466" w:rsidRDefault="00FB4466" w:rsidP="00FB4466">
      <w:pPr>
        <w:jc w:val="both"/>
        <w:rPr>
          <w:rFonts w:ascii="Bookman Old Style" w:hAnsi="Bookman Old Style"/>
          <w:sz w:val="22"/>
          <w:szCs w:val="22"/>
        </w:rPr>
      </w:pPr>
      <w:r w:rsidRPr="00FB4466">
        <w:rPr>
          <w:rFonts w:ascii="Bookman Old Style" w:hAnsi="Bookman Old Style"/>
          <w:sz w:val="22"/>
          <w:szCs w:val="22"/>
        </w:rPr>
        <w:t>La norma impone</w:t>
      </w:r>
      <w:r w:rsidR="00EE7001">
        <w:rPr>
          <w:rFonts w:ascii="Bookman Old Style" w:hAnsi="Bookman Old Style"/>
          <w:sz w:val="22"/>
          <w:szCs w:val="22"/>
        </w:rPr>
        <w:t>, pertanto,</w:t>
      </w:r>
      <w:r w:rsidRPr="00FB4466">
        <w:rPr>
          <w:rFonts w:ascii="Bookman Old Style" w:hAnsi="Bookman Old Style"/>
          <w:sz w:val="22"/>
          <w:szCs w:val="22"/>
        </w:rPr>
        <w:t xml:space="preserve"> agli enti di identificare preventivamente l’organo o il responsabile competente a valutare e approvare le proposte. Si pone inoltre l’esigenza di disciplinare criteri istruttori, convenienza economica, responsabilità, rapporti con i concessionari e tempi di risposta, evitando che l’assenza di procedure interne pregiudichi la partecipazione dell’ente alle procedure concorsuali</w:t>
      </w:r>
      <w:r w:rsidR="00EE7001">
        <w:rPr>
          <w:rStyle w:val="Rimandonotaapidipagina"/>
          <w:rFonts w:ascii="Bookman Old Style" w:hAnsi="Bookman Old Style"/>
          <w:sz w:val="22"/>
          <w:szCs w:val="22"/>
        </w:rPr>
        <w:footnoteReference w:id="2"/>
      </w:r>
      <w:r w:rsidRPr="00FB4466">
        <w:rPr>
          <w:rFonts w:ascii="Bookman Old Style" w:hAnsi="Bookman Old Style"/>
          <w:sz w:val="22"/>
          <w:szCs w:val="22"/>
        </w:rPr>
        <w:t>.</w:t>
      </w:r>
    </w:p>
    <w:p w14:paraId="20612318" w14:textId="77777777" w:rsidR="00843231" w:rsidRPr="00FB4466" w:rsidRDefault="00843231" w:rsidP="00FB4466">
      <w:pPr>
        <w:jc w:val="both"/>
        <w:rPr>
          <w:rFonts w:ascii="Bookman Old Style" w:hAnsi="Bookman Old Style"/>
          <w:sz w:val="22"/>
          <w:szCs w:val="22"/>
        </w:rPr>
      </w:pPr>
    </w:p>
    <w:p w14:paraId="15014A13" w14:textId="77777777" w:rsidR="00FB4466" w:rsidRPr="00D313FE" w:rsidRDefault="00FB4466" w:rsidP="00D313FE">
      <w:pPr>
        <w:pStyle w:val="Titolo2"/>
        <w:rPr>
          <w:rFonts w:ascii="Bookman Old Style" w:hAnsi="Bookman Old Style"/>
          <w:b/>
          <w:bCs/>
          <w:sz w:val="22"/>
          <w:szCs w:val="22"/>
        </w:rPr>
      </w:pPr>
      <w:bookmarkStart w:id="6" w:name="_Toc240375113"/>
      <w:r w:rsidRPr="00D313FE">
        <w:rPr>
          <w:rFonts w:ascii="Bookman Old Style" w:hAnsi="Bookman Old Style"/>
          <w:b/>
          <w:bCs/>
          <w:sz w:val="22"/>
          <w:szCs w:val="22"/>
        </w:rPr>
        <w:t>Articolo 5 – Vigilanza sui soggetti iscritti nell’Albo</w:t>
      </w:r>
      <w:bookmarkEnd w:id="6"/>
    </w:p>
    <w:p w14:paraId="6D8383CE" w14:textId="77777777" w:rsidR="00FB4466" w:rsidRPr="00FB4466" w:rsidRDefault="00FB4466" w:rsidP="00FB4466">
      <w:pPr>
        <w:jc w:val="both"/>
        <w:rPr>
          <w:rFonts w:ascii="Bookman Old Style" w:hAnsi="Bookman Old Style"/>
          <w:sz w:val="22"/>
          <w:szCs w:val="22"/>
        </w:rPr>
      </w:pPr>
      <w:r w:rsidRPr="00FB4466">
        <w:rPr>
          <w:rFonts w:ascii="Bookman Old Style" w:hAnsi="Bookman Old Style"/>
          <w:sz w:val="22"/>
          <w:szCs w:val="22"/>
        </w:rPr>
        <w:t>L’articolo riscrive l’articolo 53 del decreto legislativo n. 446 del 1997. Presso il Dipartimento delle finanze è confermato l’Albo dei soggetti privati abilitati all’accertamento e alla riscossione, con una sezione separata per i soggetti che svolgono esclusivamente attività di supporto.</w:t>
      </w:r>
    </w:p>
    <w:p w14:paraId="69646BEC" w14:textId="15A6F274" w:rsidR="00FB4466" w:rsidRPr="00FB4466" w:rsidRDefault="00FB4466" w:rsidP="00FB4466">
      <w:pPr>
        <w:jc w:val="both"/>
        <w:rPr>
          <w:rFonts w:ascii="Bookman Old Style" w:hAnsi="Bookman Old Style"/>
          <w:sz w:val="22"/>
          <w:szCs w:val="22"/>
        </w:rPr>
      </w:pPr>
      <w:r w:rsidRPr="00FB4466">
        <w:rPr>
          <w:rFonts w:ascii="Bookman Old Style" w:hAnsi="Bookman Old Style"/>
          <w:sz w:val="22"/>
          <w:szCs w:val="22"/>
        </w:rPr>
        <w:t>La tenuta dell’Albo è affidata a una Commissione composta anche da rappresentanti degli enti locali designati da ANCI e UPI</w:t>
      </w:r>
      <w:r w:rsidR="0027034C">
        <w:rPr>
          <w:rFonts w:ascii="Bookman Old Style" w:hAnsi="Bookman Old Style"/>
          <w:sz w:val="22"/>
          <w:szCs w:val="22"/>
        </w:rPr>
        <w:t>, rappresentanza che viene ora allargata alle Regioni</w:t>
      </w:r>
      <w:r w:rsidRPr="00FB4466">
        <w:rPr>
          <w:rFonts w:ascii="Bookman Old Style" w:hAnsi="Bookman Old Style"/>
          <w:sz w:val="22"/>
          <w:szCs w:val="22"/>
        </w:rPr>
        <w:t>. Requisiti, incompatibilità, verifiche periodiche, sospensione e cancellazione saranno disciplinati da regolamenti ministeriali adottati previa intesa in Conferenza unificata.</w:t>
      </w:r>
    </w:p>
    <w:p w14:paraId="4C8D20C3" w14:textId="77777777" w:rsidR="00FB4466" w:rsidRPr="00FB4466" w:rsidRDefault="00FB4466" w:rsidP="00FB4466">
      <w:pPr>
        <w:jc w:val="both"/>
        <w:rPr>
          <w:rFonts w:ascii="Bookman Old Style" w:hAnsi="Bookman Old Style"/>
          <w:sz w:val="22"/>
          <w:szCs w:val="22"/>
        </w:rPr>
      </w:pPr>
      <w:r w:rsidRPr="00FB4466">
        <w:rPr>
          <w:rFonts w:ascii="Bookman Old Style" w:hAnsi="Bookman Old Style"/>
          <w:sz w:val="22"/>
          <w:szCs w:val="22"/>
        </w:rPr>
        <w:t>È inoltre istituita una Commissione consultiva incaricata di elaborare linee guida sugli affidamenti, sulle modalità di svolgimento dei servizi e sugli obblighi informativi relativi ai contratti, ai compensi e agli esiti delle attività. Restano tuttavia escluse dalle competenze della Commissione le irregolarità riferite alla concreta gestione dei servizi affidati, che rimangono nella responsabilità e nella vigilanza del singolo ente.</w:t>
      </w:r>
    </w:p>
    <w:p w14:paraId="5D2EC57C" w14:textId="77777777" w:rsidR="00FB4466" w:rsidRDefault="00FB4466" w:rsidP="00FB4466">
      <w:pPr>
        <w:jc w:val="both"/>
        <w:rPr>
          <w:rFonts w:ascii="Bookman Old Style" w:hAnsi="Bookman Old Style"/>
          <w:sz w:val="22"/>
          <w:szCs w:val="22"/>
        </w:rPr>
      </w:pPr>
      <w:r w:rsidRPr="00FB4466">
        <w:rPr>
          <w:rFonts w:ascii="Bookman Old Style" w:hAnsi="Bookman Old Style"/>
          <w:sz w:val="22"/>
          <w:szCs w:val="22"/>
        </w:rPr>
        <w:t xml:space="preserve">La nuova disciplina accentua gli obblighi di trasparenza e rendicontazione. Gli enti dovranno trasmettere e pubblicare informazioni sui contratti e sui risultati della gestione secondo modalità telematiche da definire. Il regolamento n. 101 del 2022 sarà abrogato </w:t>
      </w:r>
      <w:r w:rsidRPr="00FB4466">
        <w:rPr>
          <w:rFonts w:ascii="Bookman Old Style" w:hAnsi="Bookman Old Style"/>
          <w:sz w:val="22"/>
          <w:szCs w:val="22"/>
        </w:rPr>
        <w:lastRenderedPageBreak/>
        <w:t>solo dopo l’entrata in vigore dei nuovi provvedimenti attuativi, assicurando una fase transitoria.</w:t>
      </w:r>
    </w:p>
    <w:p w14:paraId="31211343" w14:textId="77777777" w:rsidR="00FE39C7" w:rsidRPr="00FB4466" w:rsidRDefault="00FE39C7" w:rsidP="00FB4466">
      <w:pPr>
        <w:jc w:val="both"/>
        <w:rPr>
          <w:rFonts w:ascii="Bookman Old Style" w:hAnsi="Bookman Old Style"/>
          <w:sz w:val="22"/>
          <w:szCs w:val="22"/>
        </w:rPr>
      </w:pPr>
    </w:p>
    <w:p w14:paraId="665B0E6C" w14:textId="77777777" w:rsidR="00FB4466" w:rsidRPr="00D313FE" w:rsidRDefault="00FB4466" w:rsidP="00D313FE">
      <w:pPr>
        <w:pStyle w:val="Titolo2"/>
        <w:rPr>
          <w:rFonts w:ascii="Bookman Old Style" w:hAnsi="Bookman Old Style"/>
          <w:b/>
          <w:bCs/>
          <w:sz w:val="22"/>
          <w:szCs w:val="22"/>
        </w:rPr>
      </w:pPr>
      <w:bookmarkStart w:id="7" w:name="_Toc240375114"/>
      <w:r w:rsidRPr="00D313FE">
        <w:rPr>
          <w:rFonts w:ascii="Bookman Old Style" w:hAnsi="Bookman Old Style"/>
          <w:b/>
          <w:bCs/>
          <w:sz w:val="22"/>
          <w:szCs w:val="22"/>
        </w:rPr>
        <w:t>Articolo 6 – Razionalizzazione delle norme per l’iscrizione nell’Albo</w:t>
      </w:r>
      <w:bookmarkEnd w:id="7"/>
    </w:p>
    <w:p w14:paraId="4E45200C" w14:textId="33FE794B" w:rsidR="00FB4466" w:rsidRPr="00FB4466" w:rsidRDefault="00FB4466" w:rsidP="00FB4466">
      <w:pPr>
        <w:jc w:val="both"/>
        <w:rPr>
          <w:rFonts w:ascii="Bookman Old Style" w:hAnsi="Bookman Old Style"/>
          <w:sz w:val="22"/>
          <w:szCs w:val="22"/>
        </w:rPr>
      </w:pPr>
      <w:r w:rsidRPr="00FB4466">
        <w:rPr>
          <w:rFonts w:ascii="Bookman Old Style" w:hAnsi="Bookman Old Style"/>
          <w:sz w:val="22"/>
          <w:szCs w:val="22"/>
        </w:rPr>
        <w:t>L’articolo disciplina, in caso di pagamenti effettuati tramite PagoPA, l’accreditamento separato delle quote spettanti all’ente e al soggetto affidatario</w:t>
      </w:r>
      <w:r w:rsidR="00A40516">
        <w:rPr>
          <w:rFonts w:ascii="Bookman Old Style" w:hAnsi="Bookman Old Style"/>
          <w:sz w:val="22"/>
          <w:szCs w:val="22"/>
        </w:rPr>
        <w:t xml:space="preserve"> della riscossione</w:t>
      </w:r>
      <w:r w:rsidRPr="00FB4466">
        <w:rPr>
          <w:rFonts w:ascii="Bookman Old Style" w:hAnsi="Bookman Old Style"/>
          <w:sz w:val="22"/>
          <w:szCs w:val="22"/>
        </w:rPr>
        <w:t>. I criteri saranno stabiliti con decreto del Ministero dell’economia e delle finanze, d’intesa con la Conferenza Stato-città.</w:t>
      </w:r>
    </w:p>
    <w:p w14:paraId="4CEB4BE4" w14:textId="77777777" w:rsidR="00FB4466" w:rsidRPr="00FB4466" w:rsidRDefault="00FB4466" w:rsidP="00FB4466">
      <w:pPr>
        <w:jc w:val="both"/>
        <w:rPr>
          <w:rFonts w:ascii="Bookman Old Style" w:hAnsi="Bookman Old Style"/>
          <w:sz w:val="22"/>
          <w:szCs w:val="22"/>
        </w:rPr>
      </w:pPr>
      <w:r w:rsidRPr="00FB4466">
        <w:rPr>
          <w:rFonts w:ascii="Bookman Old Style" w:hAnsi="Bookman Old Style"/>
          <w:sz w:val="22"/>
          <w:szCs w:val="22"/>
        </w:rPr>
        <w:t>L’affidatario dovrà emettere entro il giorno 10 di ogni mese una fattura quietanzata relativa agli importi accreditati nel mese precedente, corredata dalla rendicontazione. L’ente, previa verifica, effettua le scritture e gli adempimenti contabili e fiscali di propria competenza.</w:t>
      </w:r>
    </w:p>
    <w:p w14:paraId="79CB5A5E" w14:textId="26D51DF0" w:rsidR="00FB4466" w:rsidRDefault="00FB4466" w:rsidP="00FB4466">
      <w:pPr>
        <w:jc w:val="both"/>
        <w:rPr>
          <w:rFonts w:ascii="Bookman Old Style" w:hAnsi="Bookman Old Style"/>
          <w:sz w:val="22"/>
          <w:szCs w:val="22"/>
        </w:rPr>
      </w:pPr>
      <w:r w:rsidRPr="00FB4466">
        <w:rPr>
          <w:rFonts w:ascii="Bookman Old Style" w:hAnsi="Bookman Old Style"/>
          <w:sz w:val="22"/>
          <w:szCs w:val="22"/>
        </w:rPr>
        <w:t xml:space="preserve">Sono inoltre ridefinite le misure minime di capitale richieste agli iscritti all’Albo. Per le attività di accertamento e riscossione sono previsti 2,5 milioni di euro per i </w:t>
      </w:r>
      <w:r w:rsidR="00B70C54">
        <w:rPr>
          <w:rFonts w:ascii="Bookman Old Style" w:hAnsi="Bookman Old Style"/>
          <w:sz w:val="22"/>
          <w:szCs w:val="22"/>
        </w:rPr>
        <w:t>C</w:t>
      </w:r>
      <w:r w:rsidRPr="00FB4466">
        <w:rPr>
          <w:rFonts w:ascii="Bookman Old Style" w:hAnsi="Bookman Old Style"/>
          <w:sz w:val="22"/>
          <w:szCs w:val="22"/>
        </w:rPr>
        <w:t xml:space="preserve">omuni fino a 200.000 abitanti e 5 milioni per enti di dimensioni superiori, </w:t>
      </w:r>
      <w:r w:rsidR="002F6987">
        <w:rPr>
          <w:rFonts w:ascii="Bookman Old Style" w:hAnsi="Bookman Old Style"/>
          <w:sz w:val="22"/>
          <w:szCs w:val="22"/>
        </w:rPr>
        <w:t>P</w:t>
      </w:r>
      <w:r w:rsidR="002F6987" w:rsidRPr="00FB4466">
        <w:rPr>
          <w:rFonts w:ascii="Bookman Old Style" w:hAnsi="Bookman Old Style"/>
          <w:sz w:val="22"/>
          <w:szCs w:val="22"/>
        </w:rPr>
        <w:t>rovince</w:t>
      </w:r>
      <w:r w:rsidRPr="00FB4466">
        <w:rPr>
          <w:rFonts w:ascii="Bookman Old Style" w:hAnsi="Bookman Old Style"/>
          <w:sz w:val="22"/>
          <w:szCs w:val="22"/>
        </w:rPr>
        <w:t xml:space="preserve">, </w:t>
      </w:r>
      <w:r w:rsidR="002F6987">
        <w:rPr>
          <w:rFonts w:ascii="Bookman Old Style" w:hAnsi="Bookman Old Style"/>
          <w:sz w:val="22"/>
          <w:szCs w:val="22"/>
        </w:rPr>
        <w:t>C</w:t>
      </w:r>
      <w:r w:rsidR="002F6987" w:rsidRPr="00FB4466">
        <w:rPr>
          <w:rFonts w:ascii="Bookman Old Style" w:hAnsi="Bookman Old Style"/>
          <w:sz w:val="22"/>
          <w:szCs w:val="22"/>
        </w:rPr>
        <w:t xml:space="preserve">ittà </w:t>
      </w:r>
      <w:r w:rsidRPr="00FB4466">
        <w:rPr>
          <w:rFonts w:ascii="Bookman Old Style" w:hAnsi="Bookman Old Style"/>
          <w:sz w:val="22"/>
          <w:szCs w:val="22"/>
        </w:rPr>
        <w:t xml:space="preserve">metropolitane e </w:t>
      </w:r>
      <w:r w:rsidR="002F6987">
        <w:rPr>
          <w:rFonts w:ascii="Bookman Old Style" w:hAnsi="Bookman Old Style"/>
          <w:sz w:val="22"/>
          <w:szCs w:val="22"/>
        </w:rPr>
        <w:t>R</w:t>
      </w:r>
      <w:r w:rsidR="002F6987" w:rsidRPr="00FB4466">
        <w:rPr>
          <w:rFonts w:ascii="Bookman Old Style" w:hAnsi="Bookman Old Style"/>
          <w:sz w:val="22"/>
          <w:szCs w:val="22"/>
        </w:rPr>
        <w:t>egioni</w:t>
      </w:r>
      <w:r w:rsidRPr="00FB4466">
        <w:rPr>
          <w:rFonts w:ascii="Bookman Old Style" w:hAnsi="Bookman Old Style"/>
          <w:sz w:val="22"/>
          <w:szCs w:val="22"/>
        </w:rPr>
        <w:t>. Per le attività di supporto i requisiti variano da 150.000 euro a un milione di euro.</w:t>
      </w:r>
    </w:p>
    <w:p w14:paraId="00B828E7" w14:textId="77777777" w:rsidR="0037784C" w:rsidRPr="00FB4466" w:rsidRDefault="0037784C" w:rsidP="00FB4466">
      <w:pPr>
        <w:jc w:val="both"/>
        <w:rPr>
          <w:rFonts w:ascii="Bookman Old Style" w:hAnsi="Bookman Old Style"/>
          <w:sz w:val="22"/>
          <w:szCs w:val="22"/>
        </w:rPr>
      </w:pPr>
    </w:p>
    <w:p w14:paraId="604E4214" w14:textId="77777777" w:rsidR="00FB4466" w:rsidRPr="00D313FE" w:rsidRDefault="00FB4466" w:rsidP="00D313FE">
      <w:pPr>
        <w:pStyle w:val="Titolo2"/>
        <w:rPr>
          <w:rFonts w:ascii="Bookman Old Style" w:hAnsi="Bookman Old Style"/>
          <w:b/>
          <w:bCs/>
          <w:sz w:val="22"/>
          <w:szCs w:val="22"/>
        </w:rPr>
      </w:pPr>
      <w:bookmarkStart w:id="8" w:name="_Toc240375115"/>
      <w:r w:rsidRPr="00D313FE">
        <w:rPr>
          <w:rFonts w:ascii="Bookman Old Style" w:hAnsi="Bookman Old Style"/>
          <w:b/>
          <w:bCs/>
          <w:sz w:val="22"/>
          <w:szCs w:val="22"/>
        </w:rPr>
        <w:t>Articolo 7 – Modifiche in materia di pagamento dei tributi locali</w:t>
      </w:r>
      <w:bookmarkEnd w:id="8"/>
    </w:p>
    <w:p w14:paraId="2F790D37" w14:textId="77777777" w:rsidR="00B572CB" w:rsidRDefault="00FB4466" w:rsidP="00FB4466">
      <w:pPr>
        <w:jc w:val="both"/>
        <w:rPr>
          <w:rFonts w:ascii="Bookman Old Style" w:hAnsi="Bookman Old Style"/>
          <w:sz w:val="22"/>
          <w:szCs w:val="22"/>
        </w:rPr>
      </w:pPr>
      <w:r w:rsidRPr="00FB4466">
        <w:rPr>
          <w:rFonts w:ascii="Bookman Old Style" w:hAnsi="Bookman Old Style"/>
          <w:sz w:val="22"/>
          <w:szCs w:val="22"/>
        </w:rPr>
        <w:t>La disposizione introduce deroghe al principio del versamento diretto</w:t>
      </w:r>
      <w:r w:rsidR="005E332A">
        <w:rPr>
          <w:rFonts w:ascii="Bookman Old Style" w:hAnsi="Bookman Old Style"/>
          <w:sz w:val="22"/>
          <w:szCs w:val="22"/>
        </w:rPr>
        <w:t xml:space="preserve"> </w:t>
      </w:r>
      <w:r w:rsidR="005E332A" w:rsidRPr="00FB4466">
        <w:rPr>
          <w:rFonts w:ascii="Bookman Old Style" w:hAnsi="Bookman Old Style"/>
          <w:sz w:val="22"/>
          <w:szCs w:val="22"/>
        </w:rPr>
        <w:t>sul conto dell’ente</w:t>
      </w:r>
      <w:r w:rsidRPr="00FB4466">
        <w:rPr>
          <w:rFonts w:ascii="Bookman Old Style" w:hAnsi="Bookman Old Style"/>
          <w:sz w:val="22"/>
          <w:szCs w:val="22"/>
        </w:rPr>
        <w:t xml:space="preserve"> </w:t>
      </w:r>
      <w:r w:rsidR="0053744B">
        <w:rPr>
          <w:rFonts w:ascii="Bookman Old Style" w:hAnsi="Bookman Old Style"/>
          <w:sz w:val="22"/>
          <w:szCs w:val="22"/>
        </w:rPr>
        <w:t>titolare</w:t>
      </w:r>
      <w:r w:rsidR="00664290">
        <w:rPr>
          <w:rFonts w:ascii="Bookman Old Style" w:hAnsi="Bookman Old Style"/>
          <w:sz w:val="22"/>
          <w:szCs w:val="22"/>
        </w:rPr>
        <w:t xml:space="preserve"> </w:t>
      </w:r>
      <w:r w:rsidR="005E332A">
        <w:rPr>
          <w:rFonts w:ascii="Bookman Old Style" w:hAnsi="Bookman Old Style"/>
          <w:sz w:val="22"/>
          <w:szCs w:val="22"/>
        </w:rPr>
        <w:t>degli importi riscossi</w:t>
      </w:r>
      <w:r w:rsidR="00510CAB">
        <w:rPr>
          <w:rFonts w:ascii="Bookman Old Style" w:hAnsi="Bookman Old Style"/>
          <w:sz w:val="22"/>
          <w:szCs w:val="22"/>
        </w:rPr>
        <w:t xml:space="preserve"> per effetto degli atti emessi dal concessionario</w:t>
      </w:r>
      <w:r w:rsidRPr="00FB4466">
        <w:rPr>
          <w:rFonts w:ascii="Bookman Old Style" w:hAnsi="Bookman Old Style"/>
          <w:sz w:val="22"/>
          <w:szCs w:val="22"/>
        </w:rPr>
        <w:t>. Le deroghe riguardano le entrate riscosse sulla base di contratti a canone fisso</w:t>
      </w:r>
      <w:r w:rsidR="0076582C">
        <w:rPr>
          <w:rStyle w:val="Rimandonotaapidipagina"/>
          <w:rFonts w:ascii="Bookman Old Style" w:hAnsi="Bookman Old Style"/>
          <w:sz w:val="22"/>
          <w:szCs w:val="22"/>
        </w:rPr>
        <w:footnoteReference w:id="3"/>
      </w:r>
      <w:r w:rsidR="00B572CB">
        <w:rPr>
          <w:rFonts w:ascii="Bookman Old Style" w:hAnsi="Bookman Old Style"/>
          <w:sz w:val="22"/>
          <w:szCs w:val="22"/>
        </w:rPr>
        <w:t>.</w:t>
      </w:r>
    </w:p>
    <w:p w14:paraId="7105ACFF" w14:textId="64CA0128" w:rsidR="00FB4466" w:rsidRDefault="00B572CB" w:rsidP="00FB4466">
      <w:pPr>
        <w:jc w:val="both"/>
        <w:rPr>
          <w:rFonts w:ascii="Bookman Old Style" w:hAnsi="Bookman Old Style"/>
          <w:sz w:val="22"/>
          <w:szCs w:val="22"/>
        </w:rPr>
      </w:pPr>
      <w:r>
        <w:rPr>
          <w:rFonts w:ascii="Bookman Old Style" w:hAnsi="Bookman Old Style"/>
          <w:sz w:val="22"/>
          <w:szCs w:val="22"/>
        </w:rPr>
        <w:t xml:space="preserve">Sono inoltre menzionate le entrate </w:t>
      </w:r>
      <w:r w:rsidR="00FB4466" w:rsidRPr="00FB4466">
        <w:rPr>
          <w:rFonts w:ascii="Bookman Old Style" w:hAnsi="Bookman Old Style"/>
          <w:sz w:val="22"/>
          <w:szCs w:val="22"/>
        </w:rPr>
        <w:t>derivanti da procedure esecutive e i versamenti effettuati dagli operatori che occupano aree mercatali o posteggi.</w:t>
      </w:r>
      <w:r>
        <w:rPr>
          <w:rFonts w:ascii="Bookman Old Style" w:hAnsi="Bookman Old Style"/>
          <w:sz w:val="22"/>
          <w:szCs w:val="22"/>
        </w:rPr>
        <w:t xml:space="preserve"> </w:t>
      </w:r>
      <w:r w:rsidR="00FB4466" w:rsidRPr="004725B5">
        <w:rPr>
          <w:rFonts w:ascii="Bookman Old Style" w:hAnsi="Bookman Old Style"/>
          <w:sz w:val="22"/>
          <w:szCs w:val="22"/>
        </w:rPr>
        <w:t>In tali casi</w:t>
      </w:r>
      <w:r w:rsidR="00FB4466" w:rsidRPr="00FB4466">
        <w:rPr>
          <w:rFonts w:ascii="Bookman Old Style" w:hAnsi="Bookman Old Style"/>
          <w:sz w:val="22"/>
          <w:szCs w:val="22"/>
        </w:rPr>
        <w:t xml:space="preserve">, le somme devono comunque essere riversate sul conto dell’ente entro il termine stabilito dall’amministrazione e, in ogni caso, non oltre il decimo giorno lavorativo successivo alla riscossione. La previsione chiarisce </w:t>
      </w:r>
      <w:r w:rsidR="0037784C">
        <w:rPr>
          <w:rFonts w:ascii="Bookman Old Style" w:hAnsi="Bookman Old Style"/>
          <w:sz w:val="22"/>
          <w:szCs w:val="22"/>
        </w:rPr>
        <w:t xml:space="preserve">dunque le </w:t>
      </w:r>
      <w:r w:rsidR="00FB4466" w:rsidRPr="00FB4466">
        <w:rPr>
          <w:rFonts w:ascii="Bookman Old Style" w:hAnsi="Bookman Old Style"/>
          <w:sz w:val="22"/>
          <w:szCs w:val="22"/>
        </w:rPr>
        <w:t>situazioni operative nelle quali il transito temporaneo delle somme presso il gestore è funzionale alla modalità di riscossione, ma richiede rigorosi controlli sui tempi di riversamento e sulla riconciliazione contabile.</w:t>
      </w:r>
    </w:p>
    <w:p w14:paraId="6FCF6790" w14:textId="77777777" w:rsidR="0037784C" w:rsidRPr="00FB4466" w:rsidRDefault="0037784C" w:rsidP="00FB4466">
      <w:pPr>
        <w:jc w:val="both"/>
        <w:rPr>
          <w:rFonts w:ascii="Bookman Old Style" w:hAnsi="Bookman Old Style"/>
          <w:sz w:val="22"/>
          <w:szCs w:val="22"/>
        </w:rPr>
      </w:pPr>
    </w:p>
    <w:p w14:paraId="01CAAF2C" w14:textId="77777777" w:rsidR="00FB4466" w:rsidRPr="00D313FE" w:rsidRDefault="00FB4466" w:rsidP="00D313FE">
      <w:pPr>
        <w:pStyle w:val="Titolo2"/>
        <w:rPr>
          <w:rFonts w:ascii="Bookman Old Style" w:hAnsi="Bookman Old Style"/>
          <w:b/>
          <w:bCs/>
          <w:sz w:val="22"/>
          <w:szCs w:val="22"/>
        </w:rPr>
      </w:pPr>
      <w:bookmarkStart w:id="9" w:name="_Toc240375116"/>
      <w:r w:rsidRPr="00D313FE">
        <w:rPr>
          <w:rFonts w:ascii="Bookman Old Style" w:hAnsi="Bookman Old Style"/>
          <w:b/>
          <w:bCs/>
          <w:sz w:val="22"/>
          <w:szCs w:val="22"/>
        </w:rPr>
        <w:t>Articolo 8 – Atto di accertamento esecutivo per i tributi regionali</w:t>
      </w:r>
      <w:bookmarkEnd w:id="9"/>
    </w:p>
    <w:p w14:paraId="57AEDA43" w14:textId="71B42CC4" w:rsidR="00FB4466" w:rsidRPr="00FB4466" w:rsidRDefault="00FB4466" w:rsidP="00FB4466">
      <w:pPr>
        <w:jc w:val="both"/>
        <w:rPr>
          <w:rFonts w:ascii="Bookman Old Style" w:hAnsi="Bookman Old Style"/>
          <w:sz w:val="22"/>
          <w:szCs w:val="22"/>
        </w:rPr>
      </w:pPr>
      <w:r w:rsidRPr="00FB4466">
        <w:rPr>
          <w:rFonts w:ascii="Bookman Old Style" w:hAnsi="Bookman Old Style"/>
          <w:sz w:val="22"/>
          <w:szCs w:val="22"/>
        </w:rPr>
        <w:t>L’articolo introduce per i tributi regionali una disciplina organica dell’accertamento esecutivo, applicabile agli atti emessi dal 1° gennaio 2027 o dalla precedente data eventualmente stabilita dalla legge regionale. L’atto contiene l’intimazione al pagamento e acquista efficacia di titolo esecutivo decorso il termine per il ricorso, senza necessità di cartella o ingiunzione</w:t>
      </w:r>
      <w:r w:rsidR="00C6356E">
        <w:rPr>
          <w:rFonts w:ascii="Bookman Old Style" w:hAnsi="Bookman Old Style"/>
          <w:sz w:val="22"/>
          <w:szCs w:val="22"/>
        </w:rPr>
        <w:t>, in coerenza con la normativa già adottata dal 2021 per gli enti locali</w:t>
      </w:r>
      <w:r w:rsidRPr="00FB4466">
        <w:rPr>
          <w:rFonts w:ascii="Bookman Old Style" w:hAnsi="Bookman Old Style"/>
          <w:sz w:val="22"/>
          <w:szCs w:val="22"/>
        </w:rPr>
        <w:t>.</w:t>
      </w:r>
    </w:p>
    <w:p w14:paraId="3DFAFB9B" w14:textId="77777777" w:rsidR="00FB4466" w:rsidRPr="00D313FE" w:rsidRDefault="00FB4466" w:rsidP="00D313FE">
      <w:pPr>
        <w:pStyle w:val="Titolo2"/>
        <w:rPr>
          <w:rFonts w:ascii="Bookman Old Style" w:hAnsi="Bookman Old Style"/>
          <w:b/>
          <w:bCs/>
          <w:sz w:val="22"/>
          <w:szCs w:val="22"/>
        </w:rPr>
      </w:pPr>
      <w:bookmarkStart w:id="10" w:name="_Toc240375117"/>
      <w:r w:rsidRPr="00D313FE">
        <w:rPr>
          <w:rFonts w:ascii="Bookman Old Style" w:hAnsi="Bookman Old Style"/>
          <w:b/>
          <w:bCs/>
          <w:sz w:val="22"/>
          <w:szCs w:val="22"/>
        </w:rPr>
        <w:lastRenderedPageBreak/>
        <w:t>Articolo 9 – Modifiche all’accertamento esecutivo dei tributi locali</w:t>
      </w:r>
      <w:bookmarkEnd w:id="10"/>
    </w:p>
    <w:p w14:paraId="60934971" w14:textId="77777777" w:rsidR="00FB4466" w:rsidRDefault="00FB4466" w:rsidP="00FB4466">
      <w:pPr>
        <w:jc w:val="both"/>
        <w:rPr>
          <w:rFonts w:ascii="Bookman Old Style" w:hAnsi="Bookman Old Style"/>
          <w:sz w:val="22"/>
          <w:szCs w:val="22"/>
        </w:rPr>
      </w:pPr>
      <w:r w:rsidRPr="00FB4466">
        <w:rPr>
          <w:rFonts w:ascii="Bookman Old Style" w:hAnsi="Bookman Old Style"/>
          <w:sz w:val="22"/>
          <w:szCs w:val="22"/>
        </w:rPr>
        <w:t>L’articolo aggiorna la disciplina dell’accertamento esecutivo locale prevista dalla legge n. 160 del 2019, coordinandola con i nuovi testi unici della giustizia tributaria, delle sanzioni e della riscossione, applicabili dal 1° gennaio 2027.</w:t>
      </w:r>
    </w:p>
    <w:p w14:paraId="0054562A" w14:textId="6EED6DA4" w:rsidR="00BF1056" w:rsidRDefault="00BF1056" w:rsidP="00FB4466">
      <w:pPr>
        <w:jc w:val="both"/>
        <w:rPr>
          <w:rFonts w:ascii="Bookman Old Style" w:hAnsi="Bookman Old Style"/>
          <w:sz w:val="22"/>
          <w:szCs w:val="22"/>
        </w:rPr>
      </w:pPr>
      <w:r>
        <w:rPr>
          <w:rFonts w:ascii="Bookman Old Style" w:hAnsi="Bookman Old Style"/>
          <w:sz w:val="22"/>
          <w:szCs w:val="22"/>
        </w:rPr>
        <w:t>Reca poi alcune modifiche, in parte richieste da ANCI-IFEL.</w:t>
      </w:r>
    </w:p>
    <w:p w14:paraId="6B9D10F2" w14:textId="56F61983" w:rsidR="00B70714" w:rsidRPr="00B70714" w:rsidRDefault="00182F83" w:rsidP="00496C87">
      <w:pPr>
        <w:jc w:val="both"/>
        <w:rPr>
          <w:rFonts w:ascii="Bookman Old Style" w:hAnsi="Bookman Old Style"/>
          <w:sz w:val="22"/>
          <w:szCs w:val="22"/>
        </w:rPr>
      </w:pPr>
      <w:r>
        <w:rPr>
          <w:rFonts w:ascii="Bookman Old Style" w:hAnsi="Bookman Old Style"/>
          <w:sz w:val="22"/>
          <w:szCs w:val="22"/>
        </w:rPr>
        <w:t xml:space="preserve">Si modifica la lettera c) dell’art. 1, comma 792, legge n. 160 del 2019 precisando che il </w:t>
      </w:r>
      <w:r w:rsidRPr="00B70714">
        <w:rPr>
          <w:rFonts w:ascii="Bookman Old Style" w:hAnsi="Bookman Old Style"/>
          <w:sz w:val="22"/>
          <w:szCs w:val="22"/>
        </w:rPr>
        <w:t>soggetto legittimato alla riscossione forzata debba inviare la comunicazione di avvenuta presa in carico solo “</w:t>
      </w:r>
      <w:r w:rsidRPr="004725B5">
        <w:rPr>
          <w:rFonts w:ascii="Bookman Old Style" w:hAnsi="Bookman Old Style"/>
          <w:i/>
          <w:iCs/>
          <w:sz w:val="22"/>
          <w:szCs w:val="22"/>
        </w:rPr>
        <w:t>se diverso da quello che ha emesso l'atto di accertamento esecutivo</w:t>
      </w:r>
      <w:r w:rsidRPr="00B70714">
        <w:rPr>
          <w:rFonts w:ascii="Bookman Old Style" w:hAnsi="Bookman Old Style"/>
          <w:sz w:val="22"/>
          <w:szCs w:val="22"/>
        </w:rPr>
        <w:t>”, confermando</w:t>
      </w:r>
      <w:r>
        <w:rPr>
          <w:rFonts w:ascii="Bookman Old Style" w:hAnsi="Bookman Old Style"/>
          <w:sz w:val="22"/>
          <w:szCs w:val="22"/>
        </w:rPr>
        <w:t>, invero</w:t>
      </w:r>
      <w:r w:rsidR="00496C87">
        <w:rPr>
          <w:rFonts w:ascii="Bookman Old Style" w:hAnsi="Bookman Old Style"/>
          <w:sz w:val="22"/>
          <w:szCs w:val="22"/>
        </w:rPr>
        <w:t>,</w:t>
      </w:r>
      <w:r>
        <w:rPr>
          <w:rFonts w:ascii="Bookman Old Style" w:hAnsi="Bookman Old Style"/>
          <w:sz w:val="22"/>
          <w:szCs w:val="22"/>
        </w:rPr>
        <w:t xml:space="preserve"> una soluzione</w:t>
      </w:r>
      <w:r w:rsidRPr="00B70714">
        <w:rPr>
          <w:rFonts w:ascii="Bookman Old Style" w:hAnsi="Bookman Old Style"/>
          <w:sz w:val="22"/>
          <w:szCs w:val="22"/>
        </w:rPr>
        <w:t xml:space="preserve"> già individuata attraverso una lettura sistematica delle disposizioni contenute nel comma 792</w:t>
      </w:r>
      <w:r>
        <w:rPr>
          <w:rFonts w:ascii="Bookman Old Style" w:hAnsi="Bookman Old Style"/>
          <w:sz w:val="22"/>
          <w:szCs w:val="22"/>
        </w:rPr>
        <w:t>, giacché la lettera a) del comma 792 p</w:t>
      </w:r>
      <w:r w:rsidR="00496C87">
        <w:rPr>
          <w:rFonts w:ascii="Bookman Old Style" w:hAnsi="Bookman Old Style"/>
          <w:sz w:val="22"/>
          <w:szCs w:val="22"/>
        </w:rPr>
        <w:t xml:space="preserve">revede comunque </w:t>
      </w:r>
      <w:r>
        <w:rPr>
          <w:rFonts w:ascii="Bookman Old Style" w:hAnsi="Bookman Old Style"/>
          <w:sz w:val="22"/>
          <w:szCs w:val="22"/>
        </w:rPr>
        <w:t>l’obbligo di indicare nell’accertamento esecutivo il soggetto che</w:t>
      </w:r>
      <w:r w:rsidR="00B70714" w:rsidRPr="00B70714">
        <w:rPr>
          <w:rFonts w:ascii="Bookman Old Style" w:hAnsi="Bookman Old Style"/>
          <w:sz w:val="22"/>
          <w:szCs w:val="22"/>
        </w:rPr>
        <w:t>, decorsi sessanta giorni dal termine ultimo per il pagamento, procederà alla riscossione delle somme richieste, anche ai fini dell'esecuzione forzata.</w:t>
      </w:r>
    </w:p>
    <w:p w14:paraId="69AF7D29" w14:textId="06260C51" w:rsidR="00BF1056" w:rsidRDefault="00BF1056" w:rsidP="00BF1056">
      <w:pPr>
        <w:jc w:val="both"/>
        <w:rPr>
          <w:rFonts w:ascii="Bookman Old Style" w:hAnsi="Bookman Old Style"/>
          <w:sz w:val="22"/>
          <w:szCs w:val="22"/>
        </w:rPr>
      </w:pPr>
      <w:r w:rsidRPr="00BF1056">
        <w:rPr>
          <w:rFonts w:ascii="Bookman Old Style" w:hAnsi="Bookman Old Style"/>
          <w:sz w:val="22"/>
          <w:szCs w:val="22"/>
        </w:rPr>
        <w:t>L’art. 9 del d.lgs. n. 147 del 2026 modifica anche la lettera f) dell’art. 1, comma 792, legge n. 160</w:t>
      </w:r>
      <w:r>
        <w:rPr>
          <w:rFonts w:ascii="Bookman Old Style" w:hAnsi="Bookman Old Style"/>
          <w:sz w:val="22"/>
          <w:szCs w:val="22"/>
        </w:rPr>
        <w:t>/</w:t>
      </w:r>
      <w:r w:rsidRPr="00BF1056">
        <w:rPr>
          <w:rFonts w:ascii="Bookman Old Style" w:hAnsi="Bookman Old Style"/>
          <w:sz w:val="22"/>
          <w:szCs w:val="22"/>
        </w:rPr>
        <w:t>2019</w:t>
      </w:r>
      <w:r>
        <w:rPr>
          <w:rFonts w:ascii="Bookman Old Style" w:hAnsi="Bookman Old Style"/>
          <w:sz w:val="22"/>
          <w:szCs w:val="22"/>
        </w:rPr>
        <w:t>, rec</w:t>
      </w:r>
      <w:r w:rsidR="006E4EA0">
        <w:rPr>
          <w:rFonts w:ascii="Bookman Old Style" w:hAnsi="Bookman Old Style"/>
          <w:sz w:val="22"/>
          <w:szCs w:val="22"/>
        </w:rPr>
        <w:t>e</w:t>
      </w:r>
      <w:r>
        <w:rPr>
          <w:rFonts w:ascii="Bookman Old Style" w:hAnsi="Bookman Old Style"/>
          <w:sz w:val="22"/>
          <w:szCs w:val="22"/>
        </w:rPr>
        <w:t>pendo un emendamento proposto in passato da ANCI-IFEL</w:t>
      </w:r>
      <w:r w:rsidRPr="00BF1056">
        <w:rPr>
          <w:rFonts w:ascii="Bookman Old Style" w:hAnsi="Bookman Old Style"/>
          <w:sz w:val="22"/>
          <w:szCs w:val="22"/>
        </w:rPr>
        <w:t>.</w:t>
      </w:r>
    </w:p>
    <w:p w14:paraId="53798DDB" w14:textId="7BAAFBE3" w:rsidR="00BF1056" w:rsidRDefault="00BF1056" w:rsidP="00BF1056">
      <w:pPr>
        <w:jc w:val="both"/>
        <w:rPr>
          <w:rFonts w:ascii="Bookman Old Style" w:hAnsi="Bookman Old Style"/>
          <w:sz w:val="22"/>
          <w:szCs w:val="22"/>
        </w:rPr>
      </w:pPr>
      <w:r>
        <w:rPr>
          <w:rFonts w:ascii="Bookman Old Style" w:hAnsi="Bookman Old Style"/>
          <w:sz w:val="22"/>
          <w:szCs w:val="22"/>
        </w:rPr>
        <w:t xml:space="preserve">La lett. f) nell’individuare i soggetti che procedono alla riscossione coattive degli accertamenti esecutivi utilizzando gli strumenti previsti dal Titolo II del </w:t>
      </w:r>
      <w:r w:rsidRPr="00BF1056">
        <w:rPr>
          <w:rFonts w:ascii="Bookman Old Style" w:hAnsi="Bookman Old Style"/>
          <w:sz w:val="22"/>
          <w:szCs w:val="22"/>
        </w:rPr>
        <w:t>d.P.R. n. 602 del 1973,</w:t>
      </w:r>
      <w:r>
        <w:rPr>
          <w:rFonts w:ascii="Bookman Old Style" w:hAnsi="Bookman Old Style"/>
          <w:sz w:val="22"/>
          <w:szCs w:val="22"/>
        </w:rPr>
        <w:t xml:space="preserve"> non faceva riferimento a tutti i soggetti legittimati ad emettere gli accertamenti esecutivi, così come individuati nella lett. a) del medesimo comma 792, tra i quali sono compresi anche </w:t>
      </w:r>
      <w:r w:rsidRPr="00BF1056">
        <w:rPr>
          <w:rFonts w:ascii="Bookman Old Style" w:hAnsi="Bookman Old Style"/>
          <w:sz w:val="22"/>
          <w:szCs w:val="22"/>
        </w:rPr>
        <w:t xml:space="preserve">i soggetti di cui all'articolo 1, comma 691, della legge n. 147 del 2013. </w:t>
      </w:r>
      <w:r>
        <w:rPr>
          <w:rFonts w:ascii="Bookman Old Style" w:hAnsi="Bookman Old Style"/>
          <w:sz w:val="22"/>
          <w:szCs w:val="22"/>
        </w:rPr>
        <w:t>Pertanto, il gestore dei rifiuti poteva emettere atti di accertamento esecutivo, ma non poteva procedere alla riscossione coattiva</w:t>
      </w:r>
      <w:r w:rsidR="006E4EA0">
        <w:rPr>
          <w:rFonts w:ascii="Bookman Old Style" w:hAnsi="Bookman Old Style"/>
          <w:sz w:val="22"/>
          <w:szCs w:val="22"/>
        </w:rPr>
        <w:t>, discrasia oggi corretta dal d.lgs. n. 147/2026.</w:t>
      </w:r>
    </w:p>
    <w:p w14:paraId="6F288BEB" w14:textId="77777777" w:rsidR="00185EA8" w:rsidRDefault="00185EA8" w:rsidP="00D313FE">
      <w:pPr>
        <w:pStyle w:val="Titolo2"/>
        <w:rPr>
          <w:rFonts w:ascii="Bookman Old Style" w:hAnsi="Bookman Old Style"/>
          <w:b/>
          <w:bCs/>
          <w:sz w:val="22"/>
          <w:szCs w:val="22"/>
        </w:rPr>
      </w:pPr>
      <w:bookmarkStart w:id="11" w:name="_Toc240375118"/>
    </w:p>
    <w:p w14:paraId="7ADF8C5F" w14:textId="70650974" w:rsidR="00FB4466" w:rsidRPr="00D313FE" w:rsidRDefault="00FB4466" w:rsidP="00D313FE">
      <w:pPr>
        <w:pStyle w:val="Titolo2"/>
        <w:rPr>
          <w:rFonts w:ascii="Bookman Old Style" w:hAnsi="Bookman Old Style"/>
          <w:b/>
          <w:bCs/>
          <w:sz w:val="22"/>
          <w:szCs w:val="22"/>
        </w:rPr>
      </w:pPr>
      <w:r w:rsidRPr="00D313FE">
        <w:rPr>
          <w:rFonts w:ascii="Bookman Old Style" w:hAnsi="Bookman Old Style"/>
          <w:b/>
          <w:bCs/>
          <w:sz w:val="22"/>
          <w:szCs w:val="22"/>
        </w:rPr>
        <w:t>Articolo 10 – Privilegio generale sui mobili</w:t>
      </w:r>
      <w:bookmarkEnd w:id="11"/>
    </w:p>
    <w:p w14:paraId="6D1915B7" w14:textId="23186F48" w:rsidR="00FB4466" w:rsidRDefault="00FB4466" w:rsidP="00FB4466">
      <w:pPr>
        <w:jc w:val="both"/>
        <w:rPr>
          <w:rFonts w:ascii="Bookman Old Style" w:hAnsi="Bookman Old Style"/>
          <w:sz w:val="22"/>
          <w:szCs w:val="22"/>
        </w:rPr>
      </w:pPr>
      <w:r w:rsidRPr="00FB4466">
        <w:rPr>
          <w:rFonts w:ascii="Bookman Old Style" w:hAnsi="Bookman Old Style"/>
          <w:sz w:val="22"/>
          <w:szCs w:val="22"/>
        </w:rPr>
        <w:t>La disposizione estende ai crediti tributari regionali il privilegio generale sui beni mobili del debitore già previsto per i tributi comunali e provinciali</w:t>
      </w:r>
    </w:p>
    <w:p w14:paraId="7A9A354A" w14:textId="349B49AD" w:rsidR="00D35CDD" w:rsidRDefault="00D35CDD" w:rsidP="00FB4466">
      <w:pPr>
        <w:jc w:val="both"/>
        <w:rPr>
          <w:rFonts w:ascii="Bookman Old Style" w:hAnsi="Bookman Old Style"/>
          <w:sz w:val="22"/>
          <w:szCs w:val="22"/>
        </w:rPr>
      </w:pPr>
      <w:r>
        <w:rPr>
          <w:rFonts w:ascii="Bookman Old Style" w:hAnsi="Bookman Old Style"/>
          <w:sz w:val="22"/>
          <w:szCs w:val="22"/>
        </w:rPr>
        <w:t xml:space="preserve">Si evidenzia che comunque la </w:t>
      </w:r>
      <w:r w:rsidRPr="00D35CDD">
        <w:rPr>
          <w:rFonts w:ascii="Bookman Old Style" w:hAnsi="Bookman Old Style"/>
          <w:sz w:val="22"/>
          <w:szCs w:val="22"/>
        </w:rPr>
        <w:t>giurisprudenza di legittimità (Cass. 13714/2024) ha già riconosciuto</w:t>
      </w:r>
      <w:r>
        <w:rPr>
          <w:rFonts w:ascii="Bookman Old Style" w:hAnsi="Bookman Old Style"/>
          <w:sz w:val="22"/>
          <w:szCs w:val="22"/>
        </w:rPr>
        <w:t xml:space="preserve"> </w:t>
      </w:r>
      <w:r w:rsidRPr="00D35CDD">
        <w:rPr>
          <w:rFonts w:ascii="Bookman Old Style" w:hAnsi="Bookman Old Style"/>
          <w:sz w:val="22"/>
          <w:szCs w:val="22"/>
        </w:rPr>
        <w:t xml:space="preserve">il privilegio di cui all’art. 2752 del </w:t>
      </w:r>
      <w:r w:rsidR="00185EA8" w:rsidRPr="00D35CDD">
        <w:rPr>
          <w:rFonts w:ascii="Bookman Old Style" w:hAnsi="Bookman Old Style"/>
          <w:sz w:val="22"/>
          <w:szCs w:val="22"/>
        </w:rPr>
        <w:t>Codice civile</w:t>
      </w:r>
      <w:r w:rsidRPr="00D35CDD">
        <w:rPr>
          <w:rFonts w:ascii="Bookman Old Style" w:hAnsi="Bookman Old Style"/>
          <w:sz w:val="22"/>
          <w:szCs w:val="22"/>
        </w:rPr>
        <w:t xml:space="preserve"> ai crediti tributari delle Regioni, poiché la ratio alla base della causa di prelazione è la provvista dei mezzi economici necessari per l’adempimento dei compiti istituzionali, e tale ragione giustificativa legittima l’estensione della norma anche alle regioni, in forza dell’appartenenza comune, con le Province e i Comuni, al </w:t>
      </w:r>
      <w:r w:rsidRPr="004725B5">
        <w:rPr>
          <w:rFonts w:ascii="Bookman Old Style" w:hAnsi="Bookman Old Style"/>
          <w:i/>
          <w:iCs/>
          <w:sz w:val="22"/>
          <w:szCs w:val="22"/>
        </w:rPr>
        <w:t>genus</w:t>
      </w:r>
      <w:r w:rsidRPr="00D35CDD">
        <w:rPr>
          <w:rFonts w:ascii="Bookman Old Style" w:hAnsi="Bookman Old Style"/>
          <w:sz w:val="22"/>
          <w:szCs w:val="22"/>
        </w:rPr>
        <w:t xml:space="preserve"> degli enti territoriali.</w:t>
      </w:r>
    </w:p>
    <w:p w14:paraId="7662FB66" w14:textId="658C3323" w:rsidR="00FB4466" w:rsidRDefault="00FB4466" w:rsidP="00FB4466">
      <w:pPr>
        <w:jc w:val="both"/>
        <w:rPr>
          <w:rFonts w:ascii="Bookman Old Style" w:hAnsi="Bookman Old Style"/>
          <w:sz w:val="22"/>
          <w:szCs w:val="22"/>
        </w:rPr>
      </w:pPr>
      <w:r w:rsidRPr="00FB4466">
        <w:rPr>
          <w:rFonts w:ascii="Bookman Old Style" w:hAnsi="Bookman Old Style"/>
          <w:sz w:val="22"/>
          <w:szCs w:val="22"/>
        </w:rPr>
        <w:t>La modifica determina</w:t>
      </w:r>
      <w:r w:rsidR="00D35CDD">
        <w:rPr>
          <w:rFonts w:ascii="Bookman Old Style" w:hAnsi="Bookman Old Style"/>
          <w:sz w:val="22"/>
          <w:szCs w:val="22"/>
        </w:rPr>
        <w:t>, pertanto,</w:t>
      </w:r>
      <w:r w:rsidR="003D52FA">
        <w:rPr>
          <w:rFonts w:ascii="Bookman Old Style" w:hAnsi="Bookman Old Style"/>
          <w:sz w:val="22"/>
          <w:szCs w:val="22"/>
        </w:rPr>
        <w:t xml:space="preserve"> </w:t>
      </w:r>
      <w:r w:rsidRPr="00FB4466">
        <w:rPr>
          <w:rFonts w:ascii="Bookman Old Style" w:hAnsi="Bookman Old Style"/>
          <w:sz w:val="22"/>
          <w:szCs w:val="22"/>
        </w:rPr>
        <w:t xml:space="preserve">un allineamento della tutela dei crediti di tutti gli enti territoriali nelle procedure esecutive e concorsuali. Per i </w:t>
      </w:r>
      <w:r w:rsidR="00A91565">
        <w:rPr>
          <w:rFonts w:ascii="Bookman Old Style" w:hAnsi="Bookman Old Style"/>
          <w:sz w:val="22"/>
          <w:szCs w:val="22"/>
        </w:rPr>
        <w:t>C</w:t>
      </w:r>
      <w:r w:rsidRPr="00FB4466">
        <w:rPr>
          <w:rFonts w:ascii="Bookman Old Style" w:hAnsi="Bookman Old Style"/>
          <w:sz w:val="22"/>
          <w:szCs w:val="22"/>
        </w:rPr>
        <w:t xml:space="preserve">omuni non produce </w:t>
      </w:r>
      <w:r w:rsidR="000733A1">
        <w:rPr>
          <w:rFonts w:ascii="Bookman Old Style" w:hAnsi="Bookman Old Style"/>
          <w:sz w:val="22"/>
          <w:szCs w:val="22"/>
        </w:rPr>
        <w:t>alcuna modifica</w:t>
      </w:r>
      <w:r w:rsidRPr="00FB4466">
        <w:rPr>
          <w:rFonts w:ascii="Bookman Old Style" w:hAnsi="Bookman Old Style"/>
          <w:sz w:val="22"/>
          <w:szCs w:val="22"/>
        </w:rPr>
        <w:t xml:space="preserve">, essendo </w:t>
      </w:r>
      <w:r w:rsidR="00C26D00">
        <w:rPr>
          <w:rFonts w:ascii="Bookman Old Style" w:hAnsi="Bookman Old Style"/>
          <w:sz w:val="22"/>
          <w:szCs w:val="22"/>
        </w:rPr>
        <w:t xml:space="preserve">il privilegio in questione già previsto </w:t>
      </w:r>
      <w:r w:rsidRPr="00FB4466">
        <w:rPr>
          <w:rFonts w:ascii="Bookman Old Style" w:hAnsi="Bookman Old Style"/>
          <w:sz w:val="22"/>
          <w:szCs w:val="22"/>
        </w:rPr>
        <w:t>nella disciplina vigente.</w:t>
      </w:r>
    </w:p>
    <w:p w14:paraId="139D30C5" w14:textId="77777777" w:rsidR="003D52FA" w:rsidRPr="00FB4466" w:rsidRDefault="003D52FA" w:rsidP="00FB4466">
      <w:pPr>
        <w:jc w:val="both"/>
        <w:rPr>
          <w:rFonts w:ascii="Bookman Old Style" w:hAnsi="Bookman Old Style"/>
          <w:sz w:val="22"/>
          <w:szCs w:val="22"/>
        </w:rPr>
      </w:pPr>
    </w:p>
    <w:p w14:paraId="375957C7" w14:textId="77777777" w:rsidR="00FB4466" w:rsidRPr="00D313FE" w:rsidRDefault="00FB4466" w:rsidP="00B74F46">
      <w:pPr>
        <w:pStyle w:val="Titolo2"/>
        <w:rPr>
          <w:rFonts w:ascii="Bookman Old Style" w:hAnsi="Bookman Old Style"/>
          <w:b/>
          <w:bCs/>
          <w:sz w:val="22"/>
          <w:szCs w:val="22"/>
        </w:rPr>
      </w:pPr>
      <w:bookmarkStart w:id="12" w:name="_Toc240375119"/>
      <w:r w:rsidRPr="00D313FE">
        <w:rPr>
          <w:rFonts w:ascii="Bookman Old Style" w:hAnsi="Bookman Old Style"/>
          <w:b/>
          <w:bCs/>
          <w:sz w:val="22"/>
          <w:szCs w:val="22"/>
        </w:rPr>
        <w:t>Articolo 12 – Sanzioni amministrative</w:t>
      </w:r>
      <w:bookmarkEnd w:id="12"/>
    </w:p>
    <w:p w14:paraId="161A1CC8" w14:textId="44664C23" w:rsidR="00303325" w:rsidRDefault="00FB4466" w:rsidP="00303325">
      <w:pPr>
        <w:jc w:val="both"/>
        <w:rPr>
          <w:rFonts w:ascii="Bookman Old Style" w:hAnsi="Bookman Old Style"/>
          <w:sz w:val="22"/>
          <w:szCs w:val="22"/>
        </w:rPr>
      </w:pPr>
      <w:r w:rsidRPr="00FB4466">
        <w:rPr>
          <w:rFonts w:ascii="Bookman Old Style" w:hAnsi="Bookman Old Style"/>
          <w:sz w:val="22"/>
          <w:szCs w:val="22"/>
        </w:rPr>
        <w:t>L’articolo stabilisce l’applicazione ai tributi regionali e locali della disciplina generale delle sanzioni tributarie e coordina il sistema con il testo unico delle sanzioni applicabile dal 1° gennaio 2027</w:t>
      </w:r>
      <w:r w:rsidR="006A0226">
        <w:rPr>
          <w:rFonts w:ascii="Bookman Old Style" w:hAnsi="Bookman Old Style"/>
          <w:sz w:val="22"/>
          <w:szCs w:val="22"/>
        </w:rPr>
        <w:t xml:space="preserve"> (</w:t>
      </w:r>
      <w:r w:rsidR="008B62B0">
        <w:rPr>
          <w:rFonts w:ascii="Bookman Old Style" w:hAnsi="Bookman Old Style"/>
          <w:b/>
          <w:bCs/>
          <w:sz w:val="22"/>
          <w:szCs w:val="22"/>
        </w:rPr>
        <w:t>d</w:t>
      </w:r>
      <w:r w:rsidR="008B62B0" w:rsidRPr="008B62B0">
        <w:rPr>
          <w:rFonts w:ascii="Bookman Old Style" w:hAnsi="Bookman Old Style"/>
          <w:b/>
          <w:bCs/>
          <w:sz w:val="22"/>
          <w:szCs w:val="22"/>
        </w:rPr>
        <w:t>.</w:t>
      </w:r>
      <w:r w:rsidR="008B62B0">
        <w:rPr>
          <w:rFonts w:ascii="Bookman Old Style" w:hAnsi="Bookman Old Style"/>
          <w:b/>
          <w:bCs/>
          <w:sz w:val="22"/>
          <w:szCs w:val="22"/>
        </w:rPr>
        <w:t>l</w:t>
      </w:r>
      <w:r w:rsidR="008B62B0" w:rsidRPr="008B62B0">
        <w:rPr>
          <w:rFonts w:ascii="Bookman Old Style" w:hAnsi="Bookman Old Style"/>
          <w:b/>
          <w:bCs/>
          <w:sz w:val="22"/>
          <w:szCs w:val="22"/>
        </w:rPr>
        <w:t>gs. 5 novembre 2024, n. 173</w:t>
      </w:r>
      <w:r w:rsidR="008B62B0" w:rsidRPr="008B62B0">
        <w:rPr>
          <w:rFonts w:ascii="Bookman Old Style" w:hAnsi="Bookman Old Style"/>
          <w:sz w:val="22"/>
          <w:szCs w:val="22"/>
        </w:rPr>
        <w:t xml:space="preserve">, recante il </w:t>
      </w:r>
      <w:r w:rsidR="008B62B0" w:rsidRPr="008B62B0">
        <w:rPr>
          <w:rFonts w:ascii="Bookman Old Style" w:hAnsi="Bookman Old Style"/>
          <w:b/>
          <w:bCs/>
          <w:sz w:val="22"/>
          <w:szCs w:val="22"/>
        </w:rPr>
        <w:t xml:space="preserve">“Testo unico delle sanzioni </w:t>
      </w:r>
      <w:r w:rsidR="008B62B0" w:rsidRPr="008B62B0">
        <w:rPr>
          <w:rFonts w:ascii="Bookman Old Style" w:hAnsi="Bookman Old Style"/>
          <w:b/>
          <w:bCs/>
          <w:sz w:val="22"/>
          <w:szCs w:val="22"/>
        </w:rPr>
        <w:lastRenderedPageBreak/>
        <w:t>tributarie amministrative e penali”</w:t>
      </w:r>
      <w:r w:rsidR="008B62B0" w:rsidRPr="008B62B0">
        <w:rPr>
          <w:rFonts w:ascii="Bookman Old Style" w:hAnsi="Bookman Old Style"/>
          <w:sz w:val="22"/>
          <w:szCs w:val="22"/>
        </w:rPr>
        <w:t>, adottato nell’ambito della delega per la riforma fiscale</w:t>
      </w:r>
      <w:r w:rsidR="006A0226">
        <w:rPr>
          <w:rFonts w:ascii="Bookman Old Style" w:hAnsi="Bookman Old Style"/>
          <w:sz w:val="22"/>
          <w:szCs w:val="22"/>
        </w:rPr>
        <w:t>)</w:t>
      </w:r>
      <w:r w:rsidR="00853475">
        <w:rPr>
          <w:rFonts w:ascii="Bookman Old Style" w:hAnsi="Bookman Old Style"/>
          <w:sz w:val="22"/>
          <w:szCs w:val="22"/>
        </w:rPr>
        <w:t xml:space="preserve">, </w:t>
      </w:r>
      <w:r w:rsidR="005C58EA">
        <w:rPr>
          <w:rFonts w:ascii="Bookman Old Style" w:hAnsi="Bookman Old Style"/>
          <w:sz w:val="22"/>
          <w:szCs w:val="22"/>
        </w:rPr>
        <w:t xml:space="preserve">con modifiche che </w:t>
      </w:r>
      <w:r w:rsidR="00853475">
        <w:rPr>
          <w:rFonts w:ascii="Bookman Old Style" w:hAnsi="Bookman Old Style"/>
          <w:sz w:val="22"/>
          <w:szCs w:val="22"/>
        </w:rPr>
        <w:t xml:space="preserve">pertanto </w:t>
      </w:r>
      <w:r w:rsidR="00303325">
        <w:rPr>
          <w:rFonts w:ascii="Bookman Old Style" w:hAnsi="Bookman Old Style"/>
          <w:sz w:val="22"/>
          <w:szCs w:val="22"/>
        </w:rPr>
        <w:t xml:space="preserve">hanno carattere ricognitivo. È confermato espressamente che in caso di omesso </w:t>
      </w:r>
      <w:r w:rsidR="00303325" w:rsidRPr="00303325">
        <w:rPr>
          <w:rFonts w:ascii="Bookman Old Style" w:hAnsi="Bookman Old Style"/>
          <w:sz w:val="22"/>
          <w:szCs w:val="22"/>
        </w:rPr>
        <w:t>o parziale versamento del tributo si applica la sanzione del 25% prevista dall’art. 13</w:t>
      </w:r>
      <w:r w:rsidR="00277C5A">
        <w:rPr>
          <w:rFonts w:ascii="Bookman Old Style" w:hAnsi="Bookman Old Style"/>
          <w:sz w:val="22"/>
          <w:szCs w:val="22"/>
        </w:rPr>
        <w:t xml:space="preserve"> del </w:t>
      </w:r>
      <w:r w:rsidR="00303325" w:rsidRPr="00303325">
        <w:rPr>
          <w:rFonts w:ascii="Bookman Old Style" w:hAnsi="Bookman Old Style"/>
          <w:sz w:val="22"/>
          <w:szCs w:val="22"/>
        </w:rPr>
        <w:t>d.lgs. 471/1997 e che nel caso di incompletezza dei documenti di versamento si applica l’art. 15, d.lgs. 471/1997, che prevede una sanzione da 100 a 500 euro.</w:t>
      </w:r>
      <w:r w:rsidR="00033746">
        <w:rPr>
          <w:rFonts w:ascii="Bookman Old Style" w:hAnsi="Bookman Old Style"/>
          <w:sz w:val="22"/>
          <w:szCs w:val="22"/>
        </w:rPr>
        <w:t xml:space="preserve"> </w:t>
      </w:r>
      <w:r w:rsidR="00303325">
        <w:rPr>
          <w:rFonts w:ascii="Bookman Old Style" w:hAnsi="Bookman Old Style"/>
          <w:sz w:val="22"/>
          <w:szCs w:val="22"/>
        </w:rPr>
        <w:t>La nuova disciplina estende anche ai Comuni l’applicazione dell’art. 13, comma 1-</w:t>
      </w:r>
      <w:r w:rsidR="00303325" w:rsidRPr="004725B5">
        <w:rPr>
          <w:rFonts w:ascii="Bookman Old Style" w:hAnsi="Bookman Old Style"/>
          <w:i/>
          <w:iCs/>
          <w:sz w:val="22"/>
          <w:szCs w:val="22"/>
        </w:rPr>
        <w:t>ter</w:t>
      </w:r>
      <w:r w:rsidR="00303325">
        <w:rPr>
          <w:rFonts w:ascii="Bookman Old Style" w:hAnsi="Bookman Old Style"/>
          <w:sz w:val="22"/>
          <w:szCs w:val="22"/>
        </w:rPr>
        <w:t>, d.lgs</w:t>
      </w:r>
      <w:r w:rsidR="00033746">
        <w:rPr>
          <w:rFonts w:ascii="Bookman Old Style" w:hAnsi="Bookman Old Style"/>
          <w:sz w:val="22"/>
          <w:szCs w:val="22"/>
        </w:rPr>
        <w:t>.</w:t>
      </w:r>
      <w:r w:rsidR="00303325">
        <w:rPr>
          <w:rFonts w:ascii="Bookman Old Style" w:hAnsi="Bookman Old Style"/>
          <w:sz w:val="22"/>
          <w:szCs w:val="22"/>
        </w:rPr>
        <w:t xml:space="preserve"> n. 472/1997, che non impedisce il ricorso all’istituto del ravvedimento operoso anche se sono iniziati a</w:t>
      </w:r>
      <w:r w:rsidR="00303325" w:rsidRPr="00303325">
        <w:rPr>
          <w:rFonts w:ascii="Bookman Old Style" w:hAnsi="Bookman Old Style"/>
          <w:sz w:val="22"/>
          <w:szCs w:val="22"/>
        </w:rPr>
        <w:t xml:space="preserve">ccessi, ispezioni, verifiche o altre attività amministrative di accertamento delle quali l'autore o i soggetti solidalmente obbligati, </w:t>
      </w:r>
      <w:r w:rsidR="00303325">
        <w:rPr>
          <w:rFonts w:ascii="Bookman Old Style" w:hAnsi="Bookman Old Style"/>
          <w:sz w:val="22"/>
          <w:szCs w:val="22"/>
        </w:rPr>
        <w:t>abbiano a</w:t>
      </w:r>
      <w:r w:rsidR="00303325" w:rsidRPr="00303325">
        <w:rPr>
          <w:rFonts w:ascii="Bookman Old Style" w:hAnsi="Bookman Old Style"/>
          <w:sz w:val="22"/>
          <w:szCs w:val="22"/>
        </w:rPr>
        <w:t xml:space="preserve">vuto formale conoscenza. </w:t>
      </w:r>
      <w:r w:rsidR="00303325">
        <w:rPr>
          <w:rFonts w:ascii="Bookman Old Style" w:hAnsi="Bookman Old Style"/>
          <w:sz w:val="22"/>
          <w:szCs w:val="22"/>
        </w:rPr>
        <w:t>La disposizione, entrata in vigore il 12 agosto, influisce sui procedimenti soggetti a contraddittorio preventivo, potendo il contribuente ravvedersi dopo aver ricevuto l’invito.</w:t>
      </w:r>
    </w:p>
    <w:p w14:paraId="6EA62F5C" w14:textId="77777777" w:rsidR="00EC34D9" w:rsidRDefault="00303325" w:rsidP="006A11A6">
      <w:pPr>
        <w:jc w:val="both"/>
        <w:rPr>
          <w:rFonts w:ascii="Bookman Old Style" w:hAnsi="Bookman Old Style"/>
          <w:sz w:val="22"/>
          <w:szCs w:val="22"/>
        </w:rPr>
      </w:pPr>
      <w:r>
        <w:rPr>
          <w:rFonts w:ascii="Bookman Old Style" w:hAnsi="Bookman Old Style"/>
          <w:sz w:val="22"/>
          <w:szCs w:val="22"/>
        </w:rPr>
        <w:t>Si interviene sulla disciplina IMU e TARI, passando da una sanzione variabile da un minimo ad un massimo ad un</w:t>
      </w:r>
      <w:r w:rsidR="008B4A83">
        <w:rPr>
          <w:rFonts w:ascii="Bookman Old Style" w:hAnsi="Bookman Old Style"/>
          <w:sz w:val="22"/>
          <w:szCs w:val="22"/>
        </w:rPr>
        <w:t>a</w:t>
      </w:r>
      <w:r>
        <w:rPr>
          <w:rFonts w:ascii="Bookman Old Style" w:hAnsi="Bookman Old Style"/>
          <w:sz w:val="22"/>
          <w:szCs w:val="22"/>
        </w:rPr>
        <w:t xml:space="preserve"> sanzione fissa, pari al 100% nel caso di omessa denuncia e al 40% per i casi di infedeltà. Rimane comunque ferma la possibilità di aumentare </w:t>
      </w:r>
      <w:r w:rsidR="001A66E6">
        <w:rPr>
          <w:rFonts w:ascii="Bookman Old Style" w:hAnsi="Bookman Old Style"/>
          <w:sz w:val="22"/>
          <w:szCs w:val="22"/>
        </w:rPr>
        <w:t>(fino ad un quarto)</w:t>
      </w:r>
      <w:r w:rsidR="008B4A83">
        <w:rPr>
          <w:rFonts w:ascii="Bookman Old Style" w:hAnsi="Bookman Old Style"/>
          <w:sz w:val="22"/>
          <w:szCs w:val="22"/>
        </w:rPr>
        <w:t xml:space="preserve"> </w:t>
      </w:r>
      <w:r>
        <w:rPr>
          <w:rFonts w:ascii="Bookman Old Style" w:hAnsi="Bookman Old Style"/>
          <w:sz w:val="22"/>
          <w:szCs w:val="22"/>
        </w:rPr>
        <w:t>o ridurre la sanzione in base al principio di proporzionalità</w:t>
      </w:r>
      <w:r w:rsidR="002437A4">
        <w:rPr>
          <w:rFonts w:ascii="Bookman Old Style" w:hAnsi="Bookman Old Style"/>
          <w:sz w:val="22"/>
          <w:szCs w:val="22"/>
        </w:rPr>
        <w:t>.</w:t>
      </w:r>
      <w:r>
        <w:rPr>
          <w:rFonts w:ascii="Bookman Old Style" w:hAnsi="Bookman Old Style"/>
          <w:sz w:val="22"/>
          <w:szCs w:val="22"/>
        </w:rPr>
        <w:t xml:space="preserve"> </w:t>
      </w:r>
    </w:p>
    <w:p w14:paraId="1BDAA5FC" w14:textId="2E9D9692" w:rsidR="00303325" w:rsidRDefault="006A11A6" w:rsidP="006A11A6">
      <w:pPr>
        <w:jc w:val="both"/>
        <w:rPr>
          <w:rFonts w:ascii="Bookman Old Style" w:hAnsi="Bookman Old Style"/>
          <w:sz w:val="22"/>
          <w:szCs w:val="22"/>
        </w:rPr>
      </w:pPr>
      <w:r>
        <w:rPr>
          <w:rFonts w:ascii="Bookman Old Style" w:hAnsi="Bookman Old Style"/>
          <w:sz w:val="22"/>
          <w:szCs w:val="22"/>
        </w:rPr>
        <w:t>Come più volte segnalato da IFEL</w:t>
      </w:r>
      <w:r w:rsidR="006101C1">
        <w:rPr>
          <w:rFonts w:ascii="Bookman Old Style" w:hAnsi="Bookman Old Style"/>
          <w:sz w:val="22"/>
          <w:szCs w:val="22"/>
        </w:rPr>
        <w:t>,</w:t>
      </w:r>
      <w:r>
        <w:rPr>
          <w:rFonts w:ascii="Bookman Old Style" w:hAnsi="Bookman Old Style"/>
          <w:sz w:val="22"/>
          <w:szCs w:val="22"/>
        </w:rPr>
        <w:t xml:space="preserve"> si pone rimedio al sistema sanzionatorio previsto per l’imposta</w:t>
      </w:r>
      <w:r w:rsidR="00423B8B">
        <w:rPr>
          <w:rFonts w:ascii="Bookman Old Style" w:hAnsi="Bookman Old Style"/>
          <w:sz w:val="22"/>
          <w:szCs w:val="22"/>
        </w:rPr>
        <w:t xml:space="preserve"> di soggiorno</w:t>
      </w:r>
      <w:r w:rsidRPr="006A11A6">
        <w:rPr>
          <w:rFonts w:ascii="Bookman Old Style" w:hAnsi="Bookman Old Style"/>
          <w:sz w:val="22"/>
          <w:szCs w:val="22"/>
        </w:rPr>
        <w:t>.</w:t>
      </w:r>
      <w:r>
        <w:rPr>
          <w:rFonts w:ascii="Bookman Old Style" w:hAnsi="Bookman Old Style"/>
          <w:sz w:val="22"/>
          <w:szCs w:val="22"/>
        </w:rPr>
        <w:t xml:space="preserve"> La normativa prevedeva per l’o</w:t>
      </w:r>
      <w:r w:rsidRPr="006A11A6">
        <w:rPr>
          <w:rFonts w:ascii="Bookman Old Style" w:hAnsi="Bookman Old Style"/>
          <w:sz w:val="22"/>
          <w:szCs w:val="22"/>
        </w:rPr>
        <w:t>messa o infedele presentazione della dichiarazione, la sanzione amministrativa pecuniaria del pagamento di una somma dal 100 al 200 per cento “dell'importo dovuto”</w:t>
      </w:r>
      <w:r>
        <w:rPr>
          <w:rFonts w:ascii="Bookman Old Style" w:hAnsi="Bookman Old Style"/>
          <w:sz w:val="22"/>
          <w:szCs w:val="22"/>
        </w:rPr>
        <w:t xml:space="preserve">, senza la previsione di una sanzione minima. Sicché si realizzava l’assurda conseguenza che in caso di regolare versamento alle scadenze fissate dal Comune, ma di omessa dichiarazione, la struttura ricettiva poteva essere soggetta ad una sanzione pari all’importo già versato. Con l’articolo in commento si pone fine a tale anomalia, prevedendo che </w:t>
      </w:r>
      <w:r w:rsidRPr="006A11A6">
        <w:rPr>
          <w:rFonts w:ascii="Bookman Old Style" w:hAnsi="Bookman Old Style"/>
          <w:sz w:val="22"/>
          <w:szCs w:val="22"/>
        </w:rPr>
        <w:t xml:space="preserve">per l’omessa presentazione della dichiarazione si applica la sanzione amministrativa del cento per cento del tributo “non versato” (e non più del “dovuto”) e comunque non inferiore a 50 euro; per l’infedele dichiarazione si applica la sanzione amministrativa del quaranta per cento del tributo non versato e comunque non inferiore a 50 euro. Si corregge, </w:t>
      </w:r>
      <w:r>
        <w:rPr>
          <w:rFonts w:ascii="Bookman Old Style" w:hAnsi="Bookman Old Style"/>
          <w:sz w:val="22"/>
          <w:szCs w:val="22"/>
        </w:rPr>
        <w:t xml:space="preserve">pertanto, l’ulteriore anomalia del previgente sistema che sanzionava allo stesso modo sia in casi di omessa che infedele dichiarazione. Lo stesso regime sanzionatorio si applica anche </w:t>
      </w:r>
      <w:r w:rsidRPr="006A11A6">
        <w:rPr>
          <w:rFonts w:ascii="Bookman Old Style" w:hAnsi="Bookman Old Style"/>
          <w:sz w:val="22"/>
          <w:szCs w:val="22"/>
        </w:rPr>
        <w:t>al contributo di sbarco.</w:t>
      </w:r>
    </w:p>
    <w:p w14:paraId="0396FC81" w14:textId="2383AFD6" w:rsidR="00FB4466" w:rsidRDefault="00FB4466" w:rsidP="00FB4466">
      <w:pPr>
        <w:jc w:val="both"/>
        <w:rPr>
          <w:rFonts w:ascii="Bookman Old Style" w:hAnsi="Bookman Old Style"/>
          <w:strike/>
          <w:sz w:val="22"/>
          <w:szCs w:val="22"/>
        </w:rPr>
      </w:pPr>
      <w:r w:rsidRPr="007B3DDD">
        <w:rPr>
          <w:rFonts w:ascii="Bookman Old Style" w:hAnsi="Bookman Old Style"/>
          <w:b/>
          <w:bCs/>
          <w:sz w:val="22"/>
          <w:szCs w:val="22"/>
        </w:rPr>
        <w:t>Le nuove misure si applicano alle violazioni commesse dal 1° gennaio 2027</w:t>
      </w:r>
      <w:r w:rsidRPr="00FB4466">
        <w:rPr>
          <w:rFonts w:ascii="Bookman Old Style" w:hAnsi="Bookman Old Style"/>
          <w:sz w:val="22"/>
          <w:szCs w:val="22"/>
        </w:rPr>
        <w:t xml:space="preserve">. </w:t>
      </w:r>
    </w:p>
    <w:p w14:paraId="5FC63CAF" w14:textId="6C3BED5C" w:rsidR="00DA1518" w:rsidRPr="00FB4466" w:rsidRDefault="0015669B" w:rsidP="00FB4466">
      <w:pPr>
        <w:jc w:val="both"/>
        <w:rPr>
          <w:rFonts w:ascii="Bookman Old Style" w:hAnsi="Bookman Old Style"/>
          <w:sz w:val="22"/>
          <w:szCs w:val="22"/>
        </w:rPr>
      </w:pPr>
      <w:r>
        <w:rPr>
          <w:rFonts w:ascii="Bookman Old Style" w:hAnsi="Bookman Old Style"/>
          <w:sz w:val="22"/>
          <w:szCs w:val="22"/>
        </w:rPr>
        <w:t>Infine, va evidenziato che la novella non modifica la disciplina sanzionatoria prevista per il canone unico patrimoniale, qualificato dalla Corte di Cassazione come entrata di natura tributaria</w:t>
      </w:r>
      <w:r w:rsidR="008178CE">
        <w:rPr>
          <w:rFonts w:ascii="Bookman Old Style" w:hAnsi="Bookman Old Style"/>
          <w:sz w:val="22"/>
          <w:szCs w:val="22"/>
        </w:rPr>
        <w:t xml:space="preserve"> (</w:t>
      </w:r>
      <w:r w:rsidR="004F1D35">
        <w:rPr>
          <w:rFonts w:ascii="Bookman Old Style" w:hAnsi="Bookman Old Style"/>
          <w:sz w:val="22"/>
          <w:szCs w:val="22"/>
        </w:rPr>
        <w:t>SS. UU</w:t>
      </w:r>
      <w:r w:rsidR="008178CE">
        <w:rPr>
          <w:rFonts w:ascii="Bookman Old Style" w:hAnsi="Bookman Old Style"/>
          <w:sz w:val="22"/>
          <w:szCs w:val="22"/>
        </w:rPr>
        <w:t>.,</w:t>
      </w:r>
      <w:r w:rsidR="008178CE" w:rsidRPr="0015669B">
        <w:t xml:space="preserve"> </w:t>
      </w:r>
      <w:r w:rsidR="008178CE" w:rsidRPr="0015669B">
        <w:rPr>
          <w:rFonts w:ascii="Bookman Old Style" w:hAnsi="Bookman Old Style"/>
          <w:sz w:val="22"/>
          <w:szCs w:val="22"/>
        </w:rPr>
        <w:t>sentenza n. 12225/2026</w:t>
      </w:r>
      <w:r w:rsidR="008178CE">
        <w:rPr>
          <w:rFonts w:ascii="Bookman Old Style" w:hAnsi="Bookman Old Style"/>
          <w:sz w:val="22"/>
          <w:szCs w:val="22"/>
        </w:rPr>
        <w:t>)</w:t>
      </w:r>
      <w:r>
        <w:rPr>
          <w:rFonts w:ascii="Bookman Old Style" w:hAnsi="Bookman Old Style"/>
          <w:sz w:val="22"/>
          <w:szCs w:val="22"/>
        </w:rPr>
        <w:t xml:space="preserve">. Ciò conferma, come già rilevato da IFEL nella Nota di </w:t>
      </w:r>
      <w:r w:rsidRPr="0015669B">
        <w:rPr>
          <w:rFonts w:ascii="Bookman Old Style" w:hAnsi="Bookman Old Style"/>
          <w:sz w:val="22"/>
          <w:szCs w:val="22"/>
        </w:rPr>
        <w:t>approfondimento</w:t>
      </w:r>
      <w:r>
        <w:rPr>
          <w:rFonts w:ascii="Bookman Old Style" w:hAnsi="Bookman Old Style"/>
          <w:sz w:val="22"/>
          <w:szCs w:val="22"/>
        </w:rPr>
        <w:t xml:space="preserve"> “</w:t>
      </w:r>
      <w:r w:rsidRPr="00DB450E">
        <w:rPr>
          <w:rFonts w:ascii="Bookman Old Style" w:hAnsi="Bookman Old Style"/>
          <w:i/>
          <w:iCs/>
          <w:sz w:val="22"/>
          <w:szCs w:val="22"/>
        </w:rPr>
        <w:t>La natura tributaria del CUP e i nuovi adempimenti per i Comuni</w:t>
      </w:r>
      <w:r>
        <w:rPr>
          <w:rFonts w:ascii="Bookman Old Style" w:hAnsi="Bookman Old Style"/>
          <w:sz w:val="22"/>
          <w:szCs w:val="22"/>
        </w:rPr>
        <w:t>”</w:t>
      </w:r>
      <w:r w:rsidR="00DA1518">
        <w:rPr>
          <w:rFonts w:ascii="Bookman Old Style" w:hAnsi="Bookman Old Style"/>
          <w:sz w:val="22"/>
          <w:szCs w:val="22"/>
        </w:rPr>
        <w:t xml:space="preserve">, che l’apparato sanzionatorio del Cup rappresenta un sistema autonomo e speciale e che quindi non si registra alcun obbligo di adattamento delle sanzioni previste dalla normativa o dal regolamento, neanche con riferimento alla sanzione per gli omessi, parziali o tardivi versamenti, </w:t>
      </w:r>
      <w:r w:rsidR="004F1D35">
        <w:rPr>
          <w:rFonts w:ascii="Bookman Old Style" w:hAnsi="Bookman Old Style"/>
          <w:sz w:val="22"/>
          <w:szCs w:val="22"/>
        </w:rPr>
        <w:t xml:space="preserve">ferma </w:t>
      </w:r>
      <w:r w:rsidR="00DA1518">
        <w:rPr>
          <w:rFonts w:ascii="Bookman Old Style" w:hAnsi="Bookman Old Style"/>
          <w:sz w:val="22"/>
          <w:szCs w:val="22"/>
        </w:rPr>
        <w:t>restando la possibilità di ridurre la percentuale delle sanzioni con norma regolamentare, adottata ai sensi dell’art. 50, legge n. 449/1997.</w:t>
      </w:r>
    </w:p>
    <w:p w14:paraId="4C602952" w14:textId="77777777" w:rsidR="001D6C1B" w:rsidRDefault="001D6C1B">
      <w:pPr>
        <w:rPr>
          <w:rFonts w:ascii="Bookman Old Style" w:eastAsiaTheme="majorEastAsia" w:hAnsi="Bookman Old Style" w:cstheme="majorBidi"/>
          <w:b/>
          <w:bCs/>
          <w:color w:val="0F4761" w:themeColor="accent1" w:themeShade="BF"/>
          <w:sz w:val="22"/>
          <w:szCs w:val="22"/>
        </w:rPr>
      </w:pPr>
      <w:bookmarkStart w:id="13" w:name="_Toc240375120"/>
      <w:r>
        <w:rPr>
          <w:rFonts w:ascii="Bookman Old Style" w:hAnsi="Bookman Old Style"/>
          <w:b/>
          <w:bCs/>
          <w:sz w:val="22"/>
          <w:szCs w:val="22"/>
        </w:rPr>
        <w:br w:type="page"/>
      </w:r>
    </w:p>
    <w:p w14:paraId="3CA6382E" w14:textId="0EE3988E" w:rsidR="004C2F5F" w:rsidRDefault="004C2F5F" w:rsidP="00CE758A">
      <w:pPr>
        <w:pStyle w:val="Titolo2"/>
        <w:rPr>
          <w:rFonts w:ascii="Bookman Old Style" w:hAnsi="Bookman Old Style"/>
          <w:b/>
          <w:bCs/>
          <w:sz w:val="22"/>
          <w:szCs w:val="22"/>
        </w:rPr>
      </w:pPr>
      <w:r w:rsidRPr="004C2F5F">
        <w:rPr>
          <w:rFonts w:ascii="Bookman Old Style" w:hAnsi="Bookman Old Style"/>
          <w:b/>
          <w:bCs/>
          <w:sz w:val="22"/>
          <w:szCs w:val="22"/>
        </w:rPr>
        <w:lastRenderedPageBreak/>
        <w:t xml:space="preserve">Tributi degli enti locali- </w:t>
      </w:r>
      <w:r>
        <w:rPr>
          <w:rFonts w:ascii="Bookman Old Style" w:hAnsi="Bookman Old Style"/>
          <w:b/>
          <w:bCs/>
          <w:sz w:val="22"/>
          <w:szCs w:val="22"/>
        </w:rPr>
        <w:t>P</w:t>
      </w:r>
      <w:r w:rsidRPr="004C2F5F">
        <w:rPr>
          <w:rFonts w:ascii="Bookman Old Style" w:hAnsi="Bookman Old Style"/>
          <w:b/>
          <w:bCs/>
          <w:sz w:val="22"/>
          <w:szCs w:val="22"/>
        </w:rPr>
        <w:t>rovince e Città metropolitane</w:t>
      </w:r>
      <w:bookmarkEnd w:id="13"/>
    </w:p>
    <w:p w14:paraId="1F90EC72" w14:textId="77777777" w:rsidR="001D6C1B" w:rsidRPr="004725B5" w:rsidRDefault="001D6C1B" w:rsidP="004725B5"/>
    <w:p w14:paraId="669AA7D9" w14:textId="77777777" w:rsidR="00FB4466" w:rsidRPr="00D313FE" w:rsidRDefault="00FB4466" w:rsidP="00B74F46">
      <w:pPr>
        <w:pStyle w:val="Titolo2"/>
        <w:rPr>
          <w:rFonts w:ascii="Bookman Old Style" w:hAnsi="Bookman Old Style"/>
          <w:b/>
          <w:bCs/>
          <w:sz w:val="22"/>
          <w:szCs w:val="22"/>
        </w:rPr>
      </w:pPr>
      <w:bookmarkStart w:id="14" w:name="_Toc240375121"/>
      <w:r w:rsidRPr="00D313FE">
        <w:rPr>
          <w:rFonts w:ascii="Bookman Old Style" w:hAnsi="Bookman Old Style"/>
          <w:b/>
          <w:bCs/>
          <w:sz w:val="22"/>
          <w:szCs w:val="22"/>
        </w:rPr>
        <w:t>Articolo 25 – Imposta provinciale di trascrizione</w:t>
      </w:r>
      <w:bookmarkEnd w:id="14"/>
    </w:p>
    <w:p w14:paraId="56262206" w14:textId="77777777" w:rsidR="00FB4466" w:rsidRPr="00FB4466" w:rsidRDefault="00FB4466" w:rsidP="00FB4466">
      <w:pPr>
        <w:jc w:val="both"/>
        <w:rPr>
          <w:rFonts w:ascii="Bookman Old Style" w:hAnsi="Bookman Old Style"/>
          <w:sz w:val="22"/>
          <w:szCs w:val="22"/>
        </w:rPr>
      </w:pPr>
      <w:r w:rsidRPr="00FB4466">
        <w:rPr>
          <w:rFonts w:ascii="Bookman Old Style" w:hAnsi="Bookman Old Style"/>
          <w:sz w:val="22"/>
          <w:szCs w:val="22"/>
        </w:rPr>
        <w:t>Il termine entro il quale può essere notificato l’avviso di accertamento dell’imposta provinciale di trascrizione viene esteso da novanta a centottanta giorni.</w:t>
      </w:r>
    </w:p>
    <w:p w14:paraId="0FF41321" w14:textId="749A410C" w:rsidR="00FB4466" w:rsidRDefault="00FB4466" w:rsidP="00FB4466">
      <w:pPr>
        <w:jc w:val="both"/>
        <w:rPr>
          <w:rFonts w:ascii="Bookman Old Style" w:hAnsi="Bookman Old Style"/>
          <w:sz w:val="22"/>
          <w:szCs w:val="22"/>
        </w:rPr>
      </w:pPr>
      <w:r w:rsidRPr="00FB4466">
        <w:rPr>
          <w:rFonts w:ascii="Bookman Old Style" w:hAnsi="Bookman Old Style"/>
          <w:sz w:val="22"/>
          <w:szCs w:val="22"/>
        </w:rPr>
        <w:t xml:space="preserve">La modifica concede a </w:t>
      </w:r>
      <w:r w:rsidR="000A0D13">
        <w:rPr>
          <w:rFonts w:ascii="Bookman Old Style" w:hAnsi="Bookman Old Style"/>
          <w:sz w:val="22"/>
          <w:szCs w:val="22"/>
        </w:rPr>
        <w:t>P</w:t>
      </w:r>
      <w:r w:rsidR="000A0D13" w:rsidRPr="00FB4466">
        <w:rPr>
          <w:rFonts w:ascii="Bookman Old Style" w:hAnsi="Bookman Old Style"/>
          <w:sz w:val="22"/>
          <w:szCs w:val="22"/>
        </w:rPr>
        <w:t xml:space="preserve">rovince </w:t>
      </w:r>
      <w:r w:rsidRPr="00FB4466">
        <w:rPr>
          <w:rFonts w:ascii="Bookman Old Style" w:hAnsi="Bookman Old Style"/>
          <w:sz w:val="22"/>
          <w:szCs w:val="22"/>
        </w:rPr>
        <w:t xml:space="preserve">e </w:t>
      </w:r>
      <w:r w:rsidR="000A0D13">
        <w:rPr>
          <w:rFonts w:ascii="Bookman Old Style" w:hAnsi="Bookman Old Style"/>
          <w:sz w:val="22"/>
          <w:szCs w:val="22"/>
        </w:rPr>
        <w:t>C</w:t>
      </w:r>
      <w:r w:rsidR="000A0D13" w:rsidRPr="00FB4466">
        <w:rPr>
          <w:rFonts w:ascii="Bookman Old Style" w:hAnsi="Bookman Old Style"/>
          <w:sz w:val="22"/>
          <w:szCs w:val="22"/>
        </w:rPr>
        <w:t xml:space="preserve">ittà </w:t>
      </w:r>
      <w:r w:rsidRPr="00FB4466">
        <w:rPr>
          <w:rFonts w:ascii="Bookman Old Style" w:hAnsi="Bookman Old Style"/>
          <w:sz w:val="22"/>
          <w:szCs w:val="22"/>
        </w:rPr>
        <w:t>metropolitane un periodo più ampio per effettuare controlli e recuperare l’imposta in caso di formalità presentate al PRA con elementi inesatti o incompleti. L’allungamento del termine può migliorare l’efficacia dell’accertamento, in particolare quando sono necessarie verifiche presso altri archivi.</w:t>
      </w:r>
    </w:p>
    <w:p w14:paraId="6F94D366" w14:textId="77777777" w:rsidR="00361DFF" w:rsidRDefault="00361DFF" w:rsidP="00FB4466">
      <w:pPr>
        <w:jc w:val="both"/>
        <w:rPr>
          <w:rFonts w:ascii="Bookman Old Style" w:hAnsi="Bookman Old Style"/>
          <w:sz w:val="22"/>
          <w:szCs w:val="22"/>
        </w:rPr>
      </w:pPr>
    </w:p>
    <w:p w14:paraId="4C8281E9" w14:textId="64148B91" w:rsidR="00770DD2" w:rsidRPr="00D313FE" w:rsidRDefault="00770DD2" w:rsidP="00B74F46">
      <w:pPr>
        <w:pStyle w:val="Titolo2"/>
        <w:rPr>
          <w:rFonts w:ascii="Bookman Old Style" w:hAnsi="Bookman Old Style"/>
          <w:b/>
          <w:bCs/>
          <w:sz w:val="22"/>
          <w:szCs w:val="22"/>
        </w:rPr>
      </w:pPr>
      <w:bookmarkStart w:id="15" w:name="_Toc240375122"/>
      <w:r w:rsidRPr="00D313FE">
        <w:rPr>
          <w:rFonts w:ascii="Bookman Old Style" w:hAnsi="Bookman Old Style"/>
          <w:b/>
          <w:bCs/>
          <w:sz w:val="22"/>
          <w:szCs w:val="22"/>
        </w:rPr>
        <w:t xml:space="preserve">Articolo 36 – Compartecipazione IRPEF per </w:t>
      </w:r>
      <w:r w:rsidR="002F6987">
        <w:rPr>
          <w:rFonts w:ascii="Bookman Old Style" w:hAnsi="Bookman Old Style"/>
          <w:b/>
          <w:bCs/>
          <w:sz w:val="22"/>
          <w:szCs w:val="22"/>
        </w:rPr>
        <w:t>P</w:t>
      </w:r>
      <w:r w:rsidR="002F6987" w:rsidRPr="00D313FE">
        <w:rPr>
          <w:rFonts w:ascii="Bookman Old Style" w:hAnsi="Bookman Old Style"/>
          <w:b/>
          <w:bCs/>
          <w:sz w:val="22"/>
          <w:szCs w:val="22"/>
        </w:rPr>
        <w:t xml:space="preserve">rovince </w:t>
      </w:r>
      <w:r w:rsidRPr="00D313FE">
        <w:rPr>
          <w:rFonts w:ascii="Bookman Old Style" w:hAnsi="Bookman Old Style"/>
          <w:b/>
          <w:bCs/>
          <w:sz w:val="22"/>
          <w:szCs w:val="22"/>
        </w:rPr>
        <w:t xml:space="preserve">e </w:t>
      </w:r>
      <w:r w:rsidR="002F6987">
        <w:rPr>
          <w:rFonts w:ascii="Bookman Old Style" w:hAnsi="Bookman Old Style"/>
          <w:b/>
          <w:bCs/>
          <w:sz w:val="22"/>
          <w:szCs w:val="22"/>
        </w:rPr>
        <w:t>C</w:t>
      </w:r>
      <w:r w:rsidR="002F6987" w:rsidRPr="00D313FE">
        <w:rPr>
          <w:rFonts w:ascii="Bookman Old Style" w:hAnsi="Bookman Old Style"/>
          <w:b/>
          <w:bCs/>
          <w:sz w:val="22"/>
          <w:szCs w:val="22"/>
        </w:rPr>
        <w:t xml:space="preserve">ittà </w:t>
      </w:r>
      <w:r w:rsidRPr="00D313FE">
        <w:rPr>
          <w:rFonts w:ascii="Bookman Old Style" w:hAnsi="Bookman Old Style"/>
          <w:b/>
          <w:bCs/>
          <w:sz w:val="22"/>
          <w:szCs w:val="22"/>
        </w:rPr>
        <w:t>metropolitane</w:t>
      </w:r>
      <w:bookmarkEnd w:id="15"/>
    </w:p>
    <w:p w14:paraId="45BE968B" w14:textId="5CBE5435" w:rsidR="00770DD2" w:rsidRPr="00FB4466" w:rsidRDefault="00770DD2" w:rsidP="00770DD2">
      <w:pPr>
        <w:jc w:val="both"/>
        <w:rPr>
          <w:rFonts w:ascii="Bookman Old Style" w:hAnsi="Bookman Old Style"/>
          <w:sz w:val="22"/>
          <w:szCs w:val="22"/>
        </w:rPr>
      </w:pPr>
      <w:r w:rsidRPr="00FB4466">
        <w:rPr>
          <w:rFonts w:ascii="Bookman Old Style" w:hAnsi="Bookman Old Style"/>
          <w:sz w:val="22"/>
          <w:szCs w:val="22"/>
        </w:rPr>
        <w:t xml:space="preserve">Dal 2027 viene istituita una compartecipazione IRPEF </w:t>
      </w:r>
      <w:r w:rsidR="002F6987">
        <w:rPr>
          <w:rFonts w:ascii="Bookman Old Style" w:hAnsi="Bookman Old Style"/>
          <w:sz w:val="22"/>
          <w:szCs w:val="22"/>
        </w:rPr>
        <w:t>a favore di P</w:t>
      </w:r>
      <w:r w:rsidR="002F6987" w:rsidRPr="00FB4466">
        <w:rPr>
          <w:rFonts w:ascii="Bookman Old Style" w:hAnsi="Bookman Old Style"/>
          <w:sz w:val="22"/>
          <w:szCs w:val="22"/>
        </w:rPr>
        <w:t xml:space="preserve">rovince </w:t>
      </w:r>
      <w:r w:rsidRPr="00FB4466">
        <w:rPr>
          <w:rFonts w:ascii="Bookman Old Style" w:hAnsi="Bookman Old Style"/>
          <w:sz w:val="22"/>
          <w:szCs w:val="22"/>
        </w:rPr>
        <w:t xml:space="preserve">e </w:t>
      </w:r>
      <w:r w:rsidR="002F6987">
        <w:rPr>
          <w:rFonts w:ascii="Bookman Old Style" w:hAnsi="Bookman Old Style"/>
          <w:sz w:val="22"/>
          <w:szCs w:val="22"/>
        </w:rPr>
        <w:t>C</w:t>
      </w:r>
      <w:r w:rsidR="002F6987" w:rsidRPr="00FB4466">
        <w:rPr>
          <w:rFonts w:ascii="Bookman Old Style" w:hAnsi="Bookman Old Style"/>
          <w:sz w:val="22"/>
          <w:szCs w:val="22"/>
        </w:rPr>
        <w:t xml:space="preserve">ittà </w:t>
      </w:r>
      <w:r w:rsidRPr="00FB4466">
        <w:rPr>
          <w:rFonts w:ascii="Bookman Old Style" w:hAnsi="Bookman Old Style"/>
          <w:sz w:val="22"/>
          <w:szCs w:val="22"/>
        </w:rPr>
        <w:t xml:space="preserve">metropolitane delle </w:t>
      </w:r>
      <w:r w:rsidR="00F13188">
        <w:rPr>
          <w:rFonts w:ascii="Bookman Old Style" w:hAnsi="Bookman Old Style"/>
          <w:sz w:val="22"/>
          <w:szCs w:val="22"/>
        </w:rPr>
        <w:t>R</w:t>
      </w:r>
      <w:r w:rsidR="00F13188" w:rsidRPr="00FB4466">
        <w:rPr>
          <w:rFonts w:ascii="Bookman Old Style" w:hAnsi="Bookman Old Style"/>
          <w:sz w:val="22"/>
          <w:szCs w:val="22"/>
        </w:rPr>
        <w:t xml:space="preserve">egioni </w:t>
      </w:r>
      <w:r w:rsidRPr="00FB4466">
        <w:rPr>
          <w:rFonts w:ascii="Bookman Old Style" w:hAnsi="Bookman Old Style"/>
          <w:sz w:val="22"/>
          <w:szCs w:val="22"/>
        </w:rPr>
        <w:t>a statuto ordinario, della Sicilia e della Sardegna. L’aliquota è fissata allo 0,92 per cento nel 2027 e allo 0,97 per cento dal 2028, entro il limite della dotazione di un apposito fondo.</w:t>
      </w:r>
    </w:p>
    <w:p w14:paraId="3BA2369A" w14:textId="77777777" w:rsidR="00770DD2" w:rsidRPr="00FB4466" w:rsidRDefault="00770DD2" w:rsidP="00770DD2">
      <w:pPr>
        <w:jc w:val="both"/>
        <w:rPr>
          <w:rFonts w:ascii="Bookman Old Style" w:hAnsi="Bookman Old Style"/>
          <w:sz w:val="22"/>
          <w:szCs w:val="22"/>
        </w:rPr>
      </w:pPr>
      <w:r w:rsidRPr="00FB4466">
        <w:rPr>
          <w:rFonts w:ascii="Bookman Old Style" w:hAnsi="Bookman Old Style"/>
          <w:sz w:val="22"/>
          <w:szCs w:val="22"/>
        </w:rPr>
        <w:t>Il fondo dispone di 1.802,1 milioni nel 2027, 1.973,4 milioni nel 2028, 2.040,5 milioni nel 2029 e 2.110,6 milioni dal 2030, incrementati di ulteriori 15 milioni annui dal 2030.</w:t>
      </w:r>
    </w:p>
    <w:p w14:paraId="59157F32" w14:textId="0CB14FFF" w:rsidR="00770DD2" w:rsidRPr="00FB4466" w:rsidRDefault="00770DD2" w:rsidP="00770DD2">
      <w:pPr>
        <w:jc w:val="both"/>
        <w:rPr>
          <w:rFonts w:ascii="Bookman Old Style" w:hAnsi="Bookman Old Style"/>
          <w:sz w:val="22"/>
          <w:szCs w:val="22"/>
        </w:rPr>
      </w:pPr>
      <w:r w:rsidRPr="00FB4466">
        <w:rPr>
          <w:rFonts w:ascii="Bookman Old Style" w:hAnsi="Bookman Old Style"/>
          <w:sz w:val="22"/>
          <w:szCs w:val="22"/>
        </w:rPr>
        <w:t>Criteri di riparto, meccanismi perequativi, recupero dei mancati concorsi alla finanza pubblica e regolazioni con lo Stato saranno definiti con decreto ministeriale entro il 31 dicembre 2026, d’intesa con la Conferenza Stato-</w:t>
      </w:r>
      <w:r w:rsidR="00551704">
        <w:rPr>
          <w:rFonts w:ascii="Bookman Old Style" w:hAnsi="Bookman Old Style"/>
          <w:sz w:val="22"/>
          <w:szCs w:val="22"/>
        </w:rPr>
        <w:t>C</w:t>
      </w:r>
      <w:r w:rsidR="00551704" w:rsidRPr="00FB4466">
        <w:rPr>
          <w:rFonts w:ascii="Bookman Old Style" w:hAnsi="Bookman Old Style"/>
          <w:sz w:val="22"/>
          <w:szCs w:val="22"/>
        </w:rPr>
        <w:t xml:space="preserve">ittà </w:t>
      </w:r>
      <w:r w:rsidRPr="00FB4466">
        <w:rPr>
          <w:rFonts w:ascii="Bookman Old Style" w:hAnsi="Bookman Old Style"/>
          <w:sz w:val="22"/>
          <w:szCs w:val="22"/>
        </w:rPr>
        <w:t xml:space="preserve">e sulla base di una metodologia </w:t>
      </w:r>
      <w:r w:rsidR="005460DB">
        <w:rPr>
          <w:rFonts w:ascii="Bookman Old Style" w:hAnsi="Bookman Old Style"/>
          <w:sz w:val="22"/>
          <w:szCs w:val="22"/>
        </w:rPr>
        <w:t xml:space="preserve">proposta </w:t>
      </w:r>
      <w:r w:rsidRPr="00FB4466">
        <w:rPr>
          <w:rFonts w:ascii="Bookman Old Style" w:hAnsi="Bookman Old Style"/>
          <w:sz w:val="22"/>
          <w:szCs w:val="22"/>
        </w:rPr>
        <w:t>d</w:t>
      </w:r>
      <w:r w:rsidR="005460DB">
        <w:rPr>
          <w:rFonts w:ascii="Bookman Old Style" w:hAnsi="Bookman Old Style"/>
          <w:sz w:val="22"/>
          <w:szCs w:val="22"/>
        </w:rPr>
        <w:t>a</w:t>
      </w:r>
      <w:r w:rsidRPr="00FB4466">
        <w:rPr>
          <w:rFonts w:ascii="Bookman Old Style" w:hAnsi="Bookman Old Style"/>
          <w:sz w:val="22"/>
          <w:szCs w:val="22"/>
        </w:rPr>
        <w:t>lla Commissione tecnica per i fabbisogni standard.</w:t>
      </w:r>
    </w:p>
    <w:p w14:paraId="28BD856B" w14:textId="4CF7F158" w:rsidR="00770DD2" w:rsidRPr="00FB4466" w:rsidRDefault="00770DD2" w:rsidP="00770DD2">
      <w:pPr>
        <w:jc w:val="both"/>
        <w:rPr>
          <w:rFonts w:ascii="Bookman Old Style" w:hAnsi="Bookman Old Style"/>
          <w:sz w:val="22"/>
          <w:szCs w:val="22"/>
        </w:rPr>
      </w:pPr>
      <w:r w:rsidRPr="00FB4466">
        <w:rPr>
          <w:rFonts w:ascii="Bookman Old Style" w:hAnsi="Bookman Old Style"/>
          <w:sz w:val="22"/>
          <w:szCs w:val="22"/>
        </w:rPr>
        <w:t>La compartecipazione sostituisce il gettito dell’imposta provinciale sulla responsabilità civile auto</w:t>
      </w:r>
      <w:r w:rsidR="00C52BC8">
        <w:rPr>
          <w:rFonts w:ascii="Bookman Old Style" w:hAnsi="Bookman Old Style"/>
          <w:sz w:val="22"/>
          <w:szCs w:val="22"/>
        </w:rPr>
        <w:t xml:space="preserve"> (</w:t>
      </w:r>
      <w:r w:rsidR="00C9120C">
        <w:rPr>
          <w:rFonts w:ascii="Bookman Old Style" w:hAnsi="Bookman Old Style"/>
          <w:sz w:val="22"/>
          <w:szCs w:val="22"/>
        </w:rPr>
        <w:t>RC auto)</w:t>
      </w:r>
      <w:r w:rsidRPr="00FB4466">
        <w:rPr>
          <w:rFonts w:ascii="Bookman Old Style" w:hAnsi="Bookman Old Style"/>
          <w:sz w:val="22"/>
          <w:szCs w:val="22"/>
        </w:rPr>
        <w:t xml:space="preserve">, che viene acquisito dallo Stato nella misura ordinaria del 12,5 per cento. Province e </w:t>
      </w:r>
      <w:r w:rsidR="00F13188">
        <w:rPr>
          <w:rFonts w:ascii="Bookman Old Style" w:hAnsi="Bookman Old Style"/>
          <w:sz w:val="22"/>
          <w:szCs w:val="22"/>
        </w:rPr>
        <w:t>C</w:t>
      </w:r>
      <w:r w:rsidR="00F13188" w:rsidRPr="00FB4466">
        <w:rPr>
          <w:rFonts w:ascii="Bookman Old Style" w:hAnsi="Bookman Old Style"/>
          <w:sz w:val="22"/>
          <w:szCs w:val="22"/>
        </w:rPr>
        <w:t xml:space="preserve">ittà </w:t>
      </w:r>
      <w:r w:rsidRPr="00FB4466">
        <w:rPr>
          <w:rFonts w:ascii="Bookman Old Style" w:hAnsi="Bookman Old Style"/>
          <w:sz w:val="22"/>
          <w:szCs w:val="22"/>
        </w:rPr>
        <w:t>metropolitane conservano tuttavia la facoltà di aumentare l’aliquota fino a 3,5 punti percentuali, trattenendo il relativo maggior gettito.</w:t>
      </w:r>
    </w:p>
    <w:p w14:paraId="09B43510" w14:textId="09569BD8" w:rsidR="00770DD2" w:rsidRPr="00FB4466" w:rsidRDefault="00770DD2" w:rsidP="00770DD2">
      <w:pPr>
        <w:jc w:val="both"/>
        <w:rPr>
          <w:rFonts w:ascii="Bookman Old Style" w:hAnsi="Bookman Old Style"/>
          <w:sz w:val="22"/>
          <w:szCs w:val="22"/>
        </w:rPr>
      </w:pPr>
      <w:r w:rsidRPr="00FB4466">
        <w:rPr>
          <w:rFonts w:ascii="Bookman Old Style" w:hAnsi="Bookman Old Style"/>
          <w:sz w:val="22"/>
          <w:szCs w:val="22"/>
        </w:rPr>
        <w:t xml:space="preserve">La riforma trasforma una fonte tributaria territoriale in una compartecipazione a un tributo erariale, con l’obiettivo di assicurare maggiore stabilità e dinamicità. L’effetto per i singoli enti dipenderà però dai criteri di riparto e perequazione. </w:t>
      </w:r>
      <w:r w:rsidR="008B7D4F">
        <w:rPr>
          <w:rFonts w:ascii="Bookman Old Style" w:hAnsi="Bookman Old Style"/>
          <w:sz w:val="22"/>
          <w:szCs w:val="22"/>
        </w:rPr>
        <w:t xml:space="preserve">La previsione di crescita </w:t>
      </w:r>
      <w:r w:rsidR="005C6518">
        <w:rPr>
          <w:rFonts w:ascii="Bookman Old Style" w:hAnsi="Bookman Old Style"/>
          <w:sz w:val="22"/>
          <w:szCs w:val="22"/>
        </w:rPr>
        <w:t xml:space="preserve">fino al 2030 </w:t>
      </w:r>
      <w:r w:rsidR="008B7D4F">
        <w:rPr>
          <w:rFonts w:ascii="Bookman Old Style" w:hAnsi="Bookman Old Style"/>
          <w:sz w:val="22"/>
          <w:szCs w:val="22"/>
        </w:rPr>
        <w:t xml:space="preserve">del fondo di riferimento per il riparto della nuova compartecipazione appare </w:t>
      </w:r>
      <w:r w:rsidR="003C1D6E">
        <w:rPr>
          <w:rFonts w:ascii="Bookman Old Style" w:hAnsi="Bookman Old Style"/>
          <w:sz w:val="22"/>
          <w:szCs w:val="22"/>
        </w:rPr>
        <w:t>in linea con la dinamica recente dell</w:t>
      </w:r>
      <w:r w:rsidR="00C9120C">
        <w:rPr>
          <w:rFonts w:ascii="Bookman Old Style" w:hAnsi="Bookman Old Style"/>
          <w:sz w:val="22"/>
          <w:szCs w:val="22"/>
        </w:rPr>
        <w:t>a RC auto. Successivamente</w:t>
      </w:r>
      <w:r w:rsidR="005C6518">
        <w:rPr>
          <w:rFonts w:ascii="Bookman Old Style" w:hAnsi="Bookman Old Style"/>
          <w:sz w:val="22"/>
          <w:szCs w:val="22"/>
        </w:rPr>
        <w:t>,</w:t>
      </w:r>
      <w:r w:rsidR="00C9120C">
        <w:rPr>
          <w:rFonts w:ascii="Bookman Old Style" w:hAnsi="Bookman Old Style"/>
          <w:sz w:val="22"/>
          <w:szCs w:val="22"/>
        </w:rPr>
        <w:t xml:space="preserve"> però</w:t>
      </w:r>
      <w:r w:rsidR="005C6518">
        <w:rPr>
          <w:rFonts w:ascii="Bookman Old Style" w:hAnsi="Bookman Old Style"/>
          <w:sz w:val="22"/>
          <w:szCs w:val="22"/>
        </w:rPr>
        <w:t>,</w:t>
      </w:r>
      <w:r w:rsidR="00C9120C">
        <w:rPr>
          <w:rFonts w:ascii="Bookman Old Style" w:hAnsi="Bookman Old Style"/>
          <w:sz w:val="22"/>
          <w:szCs w:val="22"/>
        </w:rPr>
        <w:t xml:space="preserve"> </w:t>
      </w:r>
      <w:r w:rsidR="00B26C61">
        <w:rPr>
          <w:rFonts w:ascii="Bookman Old Style" w:hAnsi="Bookman Old Style"/>
          <w:sz w:val="22"/>
          <w:szCs w:val="22"/>
        </w:rPr>
        <w:t xml:space="preserve">non è previsto un dispositivo di attingimento </w:t>
      </w:r>
      <w:r w:rsidR="005C6518">
        <w:rPr>
          <w:rFonts w:ascii="Bookman Old Style" w:hAnsi="Bookman Old Style"/>
          <w:sz w:val="22"/>
          <w:szCs w:val="22"/>
        </w:rPr>
        <w:t xml:space="preserve">sui prevedibili incrementi </w:t>
      </w:r>
      <w:r w:rsidR="00B26C61">
        <w:rPr>
          <w:rFonts w:ascii="Bookman Old Style" w:hAnsi="Bookman Old Style"/>
          <w:sz w:val="22"/>
          <w:szCs w:val="22"/>
        </w:rPr>
        <w:t xml:space="preserve">del gettito IRPEF. Si configura così un meccanismo </w:t>
      </w:r>
      <w:r w:rsidR="0051726E">
        <w:rPr>
          <w:rFonts w:ascii="Bookman Old Style" w:hAnsi="Bookman Old Style"/>
          <w:sz w:val="22"/>
          <w:szCs w:val="22"/>
        </w:rPr>
        <w:t xml:space="preserve">che risulterà molto rigido (a meno del </w:t>
      </w:r>
      <w:r w:rsidR="00412570">
        <w:rPr>
          <w:rFonts w:ascii="Bookman Old Style" w:hAnsi="Bookman Old Style"/>
          <w:sz w:val="22"/>
          <w:szCs w:val="22"/>
        </w:rPr>
        <w:t xml:space="preserve">modesto </w:t>
      </w:r>
      <w:r w:rsidR="0051726E">
        <w:rPr>
          <w:rFonts w:ascii="Bookman Old Style" w:hAnsi="Bookman Old Style"/>
          <w:sz w:val="22"/>
          <w:szCs w:val="22"/>
        </w:rPr>
        <w:t xml:space="preserve">incremento fisso di 15 mln. di euro </w:t>
      </w:r>
      <w:r w:rsidR="00412570">
        <w:rPr>
          <w:rFonts w:ascii="Bookman Old Style" w:hAnsi="Bookman Old Style"/>
          <w:sz w:val="22"/>
          <w:szCs w:val="22"/>
        </w:rPr>
        <w:t xml:space="preserve">previsto dal 2030) e non coerente con la nozione di compartecipazione </w:t>
      </w:r>
      <w:r w:rsidR="00671DDF">
        <w:rPr>
          <w:rFonts w:ascii="Bookman Old Style" w:hAnsi="Bookman Old Style"/>
          <w:sz w:val="22"/>
          <w:szCs w:val="22"/>
        </w:rPr>
        <w:t xml:space="preserve">recepito nella letteratura e nella stessa Costituzione (art. 119). </w:t>
      </w:r>
      <w:r w:rsidRPr="00FB4466">
        <w:rPr>
          <w:rFonts w:ascii="Bookman Old Style" w:hAnsi="Bookman Old Style"/>
          <w:sz w:val="22"/>
          <w:szCs w:val="22"/>
        </w:rPr>
        <w:t>Sarà quindi necessario verificare che il passaggio non determini</w:t>
      </w:r>
      <w:r w:rsidR="00671DDF">
        <w:rPr>
          <w:rFonts w:ascii="Bookman Old Style" w:hAnsi="Bookman Old Style"/>
          <w:sz w:val="22"/>
          <w:szCs w:val="22"/>
        </w:rPr>
        <w:t>, né nel breve né nel medio termine</w:t>
      </w:r>
      <w:r w:rsidR="00E92DCC">
        <w:rPr>
          <w:rFonts w:ascii="Bookman Old Style" w:hAnsi="Bookman Old Style"/>
          <w:sz w:val="22"/>
          <w:szCs w:val="22"/>
        </w:rPr>
        <w:t>,</w:t>
      </w:r>
      <w:r w:rsidRPr="00FB4466">
        <w:rPr>
          <w:rFonts w:ascii="Bookman Old Style" w:hAnsi="Bookman Old Style"/>
          <w:sz w:val="22"/>
          <w:szCs w:val="22"/>
        </w:rPr>
        <w:t xml:space="preserve"> perdite rispetto al gettito RCA storico e che siano adeguatamente considerate le differenze territoriali.</w:t>
      </w:r>
    </w:p>
    <w:p w14:paraId="3710E390" w14:textId="77777777" w:rsidR="00F74A38" w:rsidRPr="007B3DDD" w:rsidRDefault="00F74A38" w:rsidP="007B3DDD"/>
    <w:p w14:paraId="029DD982" w14:textId="79A2D8BE" w:rsidR="001510DB" w:rsidRPr="001510DB" w:rsidRDefault="001510DB" w:rsidP="00CE758A">
      <w:pPr>
        <w:pStyle w:val="Titolo2"/>
        <w:rPr>
          <w:rFonts w:ascii="Bookman Old Style" w:hAnsi="Bookman Old Style"/>
          <w:b/>
          <w:bCs/>
          <w:sz w:val="22"/>
          <w:szCs w:val="22"/>
        </w:rPr>
      </w:pPr>
      <w:bookmarkStart w:id="16" w:name="_Toc240375123"/>
      <w:r w:rsidRPr="001510DB">
        <w:rPr>
          <w:rFonts w:ascii="Bookman Old Style" w:hAnsi="Bookman Old Style"/>
          <w:b/>
          <w:bCs/>
          <w:sz w:val="22"/>
          <w:szCs w:val="22"/>
        </w:rPr>
        <w:lastRenderedPageBreak/>
        <w:t>Tributi degli enti locali</w:t>
      </w:r>
      <w:r>
        <w:rPr>
          <w:rFonts w:ascii="Bookman Old Style" w:hAnsi="Bookman Old Style"/>
          <w:b/>
          <w:bCs/>
          <w:sz w:val="22"/>
          <w:szCs w:val="22"/>
        </w:rPr>
        <w:t xml:space="preserve"> </w:t>
      </w:r>
      <w:r w:rsidRPr="001510DB">
        <w:rPr>
          <w:rFonts w:ascii="Bookman Old Style" w:hAnsi="Bookman Old Style"/>
          <w:b/>
          <w:bCs/>
          <w:sz w:val="22"/>
          <w:szCs w:val="22"/>
        </w:rPr>
        <w:t>- Comuni</w:t>
      </w:r>
      <w:bookmarkEnd w:id="16"/>
    </w:p>
    <w:p w14:paraId="23AEAB74" w14:textId="77777777" w:rsidR="004C2F5F" w:rsidRDefault="004C2F5F" w:rsidP="00CE758A">
      <w:pPr>
        <w:pStyle w:val="Titolo2"/>
        <w:rPr>
          <w:rFonts w:ascii="Bookman Old Style" w:hAnsi="Bookman Old Style"/>
          <w:b/>
          <w:bCs/>
          <w:sz w:val="22"/>
          <w:szCs w:val="22"/>
        </w:rPr>
      </w:pPr>
    </w:p>
    <w:p w14:paraId="03211E60" w14:textId="77777777" w:rsidR="00A248D6" w:rsidRPr="00D313FE" w:rsidRDefault="00A248D6" w:rsidP="00B74F46">
      <w:pPr>
        <w:pStyle w:val="Titolo2"/>
        <w:rPr>
          <w:rFonts w:ascii="Bookman Old Style" w:hAnsi="Bookman Old Style"/>
          <w:b/>
          <w:bCs/>
          <w:sz w:val="22"/>
          <w:szCs w:val="22"/>
        </w:rPr>
      </w:pPr>
      <w:bookmarkStart w:id="17" w:name="_Toc240375124"/>
      <w:r w:rsidRPr="00D313FE">
        <w:rPr>
          <w:rFonts w:ascii="Bookman Old Style" w:hAnsi="Bookman Old Style"/>
          <w:b/>
          <w:bCs/>
          <w:sz w:val="22"/>
          <w:szCs w:val="22"/>
        </w:rPr>
        <w:t>Articolo 11 – Partecipazione comunale al recupero dei tributi erariali</w:t>
      </w:r>
      <w:bookmarkEnd w:id="17"/>
    </w:p>
    <w:p w14:paraId="2896EDAB" w14:textId="77777777" w:rsidR="00A248D6" w:rsidRPr="00FB4466" w:rsidRDefault="00A248D6" w:rsidP="00A248D6">
      <w:pPr>
        <w:jc w:val="both"/>
        <w:rPr>
          <w:rFonts w:ascii="Bookman Old Style" w:hAnsi="Bookman Old Style"/>
          <w:sz w:val="22"/>
          <w:szCs w:val="22"/>
        </w:rPr>
      </w:pPr>
      <w:r w:rsidRPr="00FB4466">
        <w:rPr>
          <w:rFonts w:ascii="Bookman Old Style" w:hAnsi="Bookman Old Style"/>
          <w:sz w:val="22"/>
          <w:szCs w:val="22"/>
        </w:rPr>
        <w:t xml:space="preserve">La quota spettante ai </w:t>
      </w:r>
      <w:r>
        <w:rPr>
          <w:rFonts w:ascii="Bookman Old Style" w:hAnsi="Bookman Old Style"/>
          <w:sz w:val="22"/>
          <w:szCs w:val="22"/>
        </w:rPr>
        <w:t>C</w:t>
      </w:r>
      <w:r w:rsidRPr="00FB4466">
        <w:rPr>
          <w:rFonts w:ascii="Bookman Old Style" w:hAnsi="Bookman Old Style"/>
          <w:sz w:val="22"/>
          <w:szCs w:val="22"/>
        </w:rPr>
        <w:t>omuni per la partecipazione all’accertamento dei tributi erariali viene elevata al 100 per cento per gli anni dal 2026 al 2028.</w:t>
      </w:r>
    </w:p>
    <w:p w14:paraId="412873B8" w14:textId="77777777" w:rsidR="00A248D6" w:rsidRDefault="00A248D6" w:rsidP="00A248D6">
      <w:pPr>
        <w:jc w:val="both"/>
        <w:rPr>
          <w:rFonts w:ascii="Bookman Old Style" w:hAnsi="Bookman Old Style"/>
          <w:sz w:val="22"/>
          <w:szCs w:val="22"/>
        </w:rPr>
      </w:pPr>
      <w:r w:rsidRPr="00FB4466">
        <w:rPr>
          <w:rFonts w:ascii="Bookman Old Style" w:hAnsi="Bookman Old Style"/>
          <w:sz w:val="22"/>
          <w:szCs w:val="22"/>
        </w:rPr>
        <w:t xml:space="preserve">La misura rafforza l’incentivo finanziario per i </w:t>
      </w:r>
      <w:r>
        <w:rPr>
          <w:rFonts w:ascii="Bookman Old Style" w:hAnsi="Bookman Old Style"/>
          <w:sz w:val="22"/>
          <w:szCs w:val="22"/>
        </w:rPr>
        <w:t>C</w:t>
      </w:r>
      <w:r w:rsidRPr="00FB4466">
        <w:rPr>
          <w:rFonts w:ascii="Bookman Old Style" w:hAnsi="Bookman Old Style"/>
          <w:sz w:val="22"/>
          <w:szCs w:val="22"/>
        </w:rPr>
        <w:t xml:space="preserve">omuni che trasmettono segnalazioni qualificate all’Amministrazione finanziaria. </w:t>
      </w:r>
    </w:p>
    <w:p w14:paraId="1CF1DAED" w14:textId="77777777" w:rsidR="00776092" w:rsidRDefault="00776092" w:rsidP="00776092">
      <w:pPr>
        <w:jc w:val="both"/>
        <w:rPr>
          <w:rFonts w:ascii="Bookman Old Style" w:hAnsi="Bookman Old Style"/>
          <w:sz w:val="22"/>
          <w:szCs w:val="22"/>
        </w:rPr>
      </w:pPr>
      <w:r w:rsidRPr="00776092">
        <w:rPr>
          <w:rFonts w:ascii="Bookman Old Style" w:hAnsi="Bookman Old Style"/>
          <w:sz w:val="22"/>
          <w:szCs w:val="22"/>
        </w:rPr>
        <w:t xml:space="preserve">In particolare, si interviene sull’art. 2, comma 10, lett. b), d.lgs. n. 23 del 2011, che prevede in via ordinaria il riconoscimento di una quota del 50 per cento. </w:t>
      </w:r>
    </w:p>
    <w:p w14:paraId="5B087034" w14:textId="1E8796AF" w:rsidR="00776092" w:rsidRDefault="00776092" w:rsidP="00776092">
      <w:pPr>
        <w:jc w:val="both"/>
        <w:rPr>
          <w:rFonts w:ascii="Bookman Old Style" w:hAnsi="Bookman Old Style"/>
          <w:sz w:val="22"/>
          <w:szCs w:val="22"/>
        </w:rPr>
      </w:pPr>
      <w:r>
        <w:rPr>
          <w:rFonts w:ascii="Bookman Old Style" w:hAnsi="Bookman Old Style"/>
          <w:sz w:val="22"/>
          <w:szCs w:val="22"/>
        </w:rPr>
        <w:t xml:space="preserve">Va evidenziato che nel corso degli ultimi anni l’interesse dei Comuni verso tale strumento si </w:t>
      </w:r>
      <w:r w:rsidR="0051492E">
        <w:rPr>
          <w:rFonts w:ascii="Bookman Old Style" w:hAnsi="Bookman Old Style"/>
          <w:sz w:val="22"/>
          <w:szCs w:val="22"/>
        </w:rPr>
        <w:t>è</w:t>
      </w:r>
      <w:r>
        <w:rPr>
          <w:rFonts w:ascii="Bookman Old Style" w:hAnsi="Bookman Old Style"/>
          <w:sz w:val="22"/>
          <w:szCs w:val="22"/>
        </w:rPr>
        <w:t xml:space="preserve"> via via ridotto. Basti pensare che nel biennio 2015-2017 sono </w:t>
      </w:r>
      <w:r w:rsidR="009F5C41">
        <w:rPr>
          <w:rFonts w:ascii="Bookman Old Style" w:hAnsi="Bookman Old Style"/>
          <w:sz w:val="22"/>
          <w:szCs w:val="22"/>
        </w:rPr>
        <w:t xml:space="preserve">stati </w:t>
      </w:r>
      <w:r>
        <w:rPr>
          <w:rFonts w:ascii="Bookman Old Style" w:hAnsi="Bookman Old Style"/>
          <w:sz w:val="22"/>
          <w:szCs w:val="22"/>
        </w:rPr>
        <w:t>retrocessi ai Comuni mediamente 17 milioni ad anno, mentre nel 2025 la somma si è ridotta a 2,5 milioni di euro.</w:t>
      </w:r>
    </w:p>
    <w:p w14:paraId="4BBAD8BC" w14:textId="12B2F11B" w:rsidR="00EA6054" w:rsidRPr="00776092" w:rsidRDefault="00EE3442" w:rsidP="00776092">
      <w:pPr>
        <w:jc w:val="both"/>
        <w:rPr>
          <w:rFonts w:ascii="Bookman Old Style" w:hAnsi="Bookman Old Style"/>
          <w:sz w:val="22"/>
          <w:szCs w:val="22"/>
        </w:rPr>
      </w:pPr>
      <w:r>
        <w:rPr>
          <w:rFonts w:ascii="Bookman Old Style" w:hAnsi="Bookman Old Style"/>
          <w:sz w:val="22"/>
          <w:szCs w:val="22"/>
        </w:rPr>
        <w:t xml:space="preserve">Appare evidente che </w:t>
      </w:r>
      <w:r w:rsidR="00EA6054">
        <w:rPr>
          <w:rFonts w:ascii="Bookman Old Style" w:hAnsi="Bookman Old Style"/>
          <w:sz w:val="22"/>
          <w:szCs w:val="22"/>
        </w:rPr>
        <w:t>il problema risiede nel mantenimento dell’im</w:t>
      </w:r>
      <w:r w:rsidR="009F5C41">
        <w:rPr>
          <w:rFonts w:ascii="Bookman Old Style" w:hAnsi="Bookman Old Style"/>
          <w:sz w:val="22"/>
          <w:szCs w:val="22"/>
        </w:rPr>
        <w:t xml:space="preserve">pianto </w:t>
      </w:r>
      <w:r w:rsidR="00EA6054">
        <w:rPr>
          <w:rFonts w:ascii="Bookman Old Style" w:hAnsi="Bookman Old Style"/>
          <w:sz w:val="22"/>
          <w:szCs w:val="22"/>
        </w:rPr>
        <w:t xml:space="preserve">originario, di cui all’art. 1, comma 1, </w:t>
      </w:r>
      <w:r w:rsidR="009F5C41">
        <w:rPr>
          <w:rFonts w:ascii="Bookman Old Style" w:hAnsi="Bookman Old Style"/>
          <w:sz w:val="22"/>
          <w:szCs w:val="22"/>
        </w:rPr>
        <w:t xml:space="preserve">dl n. 203 del 2005, </w:t>
      </w:r>
      <w:r w:rsidR="004E04F2">
        <w:rPr>
          <w:rFonts w:ascii="Bookman Old Style" w:hAnsi="Bookman Old Style"/>
          <w:sz w:val="22"/>
          <w:szCs w:val="22"/>
        </w:rPr>
        <w:t>che</w:t>
      </w:r>
      <w:r w:rsidR="009F5C41">
        <w:rPr>
          <w:rFonts w:ascii="Bookman Old Style" w:hAnsi="Bookman Old Style"/>
          <w:sz w:val="22"/>
          <w:szCs w:val="22"/>
        </w:rPr>
        <w:t xml:space="preserve"> collega l’incentivo comunale all’avvenuta notifica e riscossione di un </w:t>
      </w:r>
      <w:r w:rsidR="009F5C41" w:rsidRPr="004725B5">
        <w:rPr>
          <w:rFonts w:ascii="Bookman Old Style" w:hAnsi="Bookman Old Style"/>
          <w:i/>
          <w:iCs/>
          <w:sz w:val="22"/>
          <w:szCs w:val="22"/>
        </w:rPr>
        <w:t>atto di accertamento</w:t>
      </w:r>
      <w:r w:rsidR="009F5C41">
        <w:rPr>
          <w:rFonts w:ascii="Bookman Old Style" w:hAnsi="Bookman Old Style"/>
          <w:sz w:val="22"/>
          <w:szCs w:val="22"/>
        </w:rPr>
        <w:t xml:space="preserve"> collegato alla segnalazione. Ma se l’Agenzia prima di notificare l’accertamento notifica un invito alla regolarizzazione tramite ravvedimento operoso, ed il contribuente regolarizza spontaneamente la sua posizione, nessuna somma viene retrocessa al Comune, sebbene l’incasso </w:t>
      </w:r>
      <w:r w:rsidR="00E420E6">
        <w:rPr>
          <w:rFonts w:ascii="Bookman Old Style" w:hAnsi="Bookman Old Style"/>
          <w:sz w:val="22"/>
          <w:szCs w:val="22"/>
        </w:rPr>
        <w:t xml:space="preserve">sia </w:t>
      </w:r>
      <w:r w:rsidR="009F5C41">
        <w:rPr>
          <w:rFonts w:ascii="Bookman Old Style" w:hAnsi="Bookman Old Style"/>
          <w:sz w:val="22"/>
          <w:szCs w:val="22"/>
        </w:rPr>
        <w:t>comunque una conseguenza della segnalazione qualificata inviata dal Comune.</w:t>
      </w:r>
    </w:p>
    <w:p w14:paraId="32C39242" w14:textId="768E0BAF" w:rsidR="00776092" w:rsidRPr="00776092" w:rsidRDefault="00345D1F" w:rsidP="00776092">
      <w:pPr>
        <w:jc w:val="both"/>
        <w:rPr>
          <w:rFonts w:ascii="Bookman Old Style" w:hAnsi="Bookman Old Style"/>
          <w:sz w:val="22"/>
          <w:szCs w:val="22"/>
        </w:rPr>
      </w:pPr>
      <w:r>
        <w:rPr>
          <w:rFonts w:ascii="Bookman Old Style" w:hAnsi="Bookman Old Style"/>
          <w:sz w:val="22"/>
          <w:szCs w:val="22"/>
        </w:rPr>
        <w:t>Si evidenzia, infine, che p</w:t>
      </w:r>
      <w:r w:rsidRPr="00345D1F">
        <w:rPr>
          <w:rFonts w:ascii="Bookman Old Style" w:hAnsi="Bookman Old Style"/>
          <w:sz w:val="22"/>
          <w:szCs w:val="22"/>
        </w:rPr>
        <w:t>er il triennio 2026-2028, il d.lgs. n. 147</w:t>
      </w:r>
      <w:r>
        <w:rPr>
          <w:rFonts w:ascii="Bookman Old Style" w:hAnsi="Bookman Old Style"/>
          <w:sz w:val="22"/>
          <w:szCs w:val="22"/>
        </w:rPr>
        <w:t>/</w:t>
      </w:r>
      <w:r w:rsidRPr="00345D1F">
        <w:rPr>
          <w:rFonts w:ascii="Bookman Old Style" w:hAnsi="Bookman Old Style"/>
          <w:sz w:val="22"/>
          <w:szCs w:val="22"/>
        </w:rPr>
        <w:t xml:space="preserve">2026 stabilisce che la quota del 100 per cento sia attribuita ai </w:t>
      </w:r>
      <w:r w:rsidR="001E59A6">
        <w:rPr>
          <w:rFonts w:ascii="Bookman Old Style" w:hAnsi="Bookman Old Style"/>
          <w:sz w:val="22"/>
          <w:szCs w:val="22"/>
        </w:rPr>
        <w:t>C</w:t>
      </w:r>
      <w:r w:rsidRPr="00345D1F">
        <w:rPr>
          <w:rFonts w:ascii="Bookman Old Style" w:hAnsi="Bookman Old Style"/>
          <w:sz w:val="22"/>
          <w:szCs w:val="22"/>
        </w:rPr>
        <w:t>omuni, in via provvisoria, anche in relazione alle somme riscosse a titolo non definitivo.</w:t>
      </w:r>
    </w:p>
    <w:p w14:paraId="4ABE1A66" w14:textId="77777777" w:rsidR="00776092" w:rsidRPr="00FB4466" w:rsidRDefault="00776092" w:rsidP="00A248D6">
      <w:pPr>
        <w:jc w:val="both"/>
        <w:rPr>
          <w:rFonts w:ascii="Bookman Old Style" w:hAnsi="Bookman Old Style"/>
          <w:sz w:val="22"/>
          <w:szCs w:val="22"/>
        </w:rPr>
      </w:pPr>
    </w:p>
    <w:p w14:paraId="218E8F63" w14:textId="77777777" w:rsidR="00FB4466" w:rsidRPr="00D313FE" w:rsidRDefault="00FB4466" w:rsidP="00B74F46">
      <w:pPr>
        <w:pStyle w:val="Titolo2"/>
        <w:rPr>
          <w:rFonts w:ascii="Bookman Old Style" w:hAnsi="Bookman Old Style"/>
          <w:b/>
          <w:bCs/>
          <w:sz w:val="22"/>
          <w:szCs w:val="22"/>
        </w:rPr>
      </w:pPr>
      <w:bookmarkStart w:id="18" w:name="_Toc240375125"/>
      <w:r w:rsidRPr="00D313FE">
        <w:rPr>
          <w:rFonts w:ascii="Bookman Old Style" w:hAnsi="Bookman Old Style"/>
          <w:b/>
          <w:bCs/>
          <w:sz w:val="22"/>
          <w:szCs w:val="22"/>
        </w:rPr>
        <w:t>Articolo 26 – Semplificazione della dichiarazione IMU</w:t>
      </w:r>
      <w:bookmarkEnd w:id="18"/>
    </w:p>
    <w:p w14:paraId="751F9DDB" w14:textId="77777777" w:rsidR="00FB4466" w:rsidRPr="00FB4466" w:rsidRDefault="00FB4466" w:rsidP="00FB4466">
      <w:pPr>
        <w:jc w:val="both"/>
        <w:rPr>
          <w:rFonts w:ascii="Bookman Old Style" w:hAnsi="Bookman Old Style"/>
          <w:sz w:val="22"/>
          <w:szCs w:val="22"/>
        </w:rPr>
      </w:pPr>
      <w:r w:rsidRPr="00FB4466">
        <w:rPr>
          <w:rFonts w:ascii="Bookman Old Style" w:hAnsi="Bookman Old Style"/>
          <w:sz w:val="22"/>
          <w:szCs w:val="22"/>
        </w:rPr>
        <w:t>La disposizione introduce una disciplina unitaria della dichiarazione IMU, da presentare esclusivamente in via telematica entro il 30 giugno dell’anno successivo all’inizio del possesso o alla variazione rilevante.</w:t>
      </w:r>
    </w:p>
    <w:p w14:paraId="3E01B792" w14:textId="77777777" w:rsidR="007B301D" w:rsidRDefault="007B301D" w:rsidP="007B301D">
      <w:pPr>
        <w:jc w:val="both"/>
        <w:rPr>
          <w:rFonts w:ascii="Bookman Old Style" w:hAnsi="Bookman Old Style"/>
          <w:sz w:val="22"/>
          <w:szCs w:val="22"/>
        </w:rPr>
      </w:pPr>
      <w:r w:rsidRPr="007B301D">
        <w:rPr>
          <w:rFonts w:ascii="Bookman Old Style" w:hAnsi="Bookman Old Style"/>
          <w:sz w:val="22"/>
          <w:szCs w:val="22"/>
        </w:rPr>
        <w:t>In particolare</w:t>
      </w:r>
      <w:r>
        <w:rPr>
          <w:rFonts w:ascii="Bookman Old Style" w:hAnsi="Bookman Old Style"/>
          <w:sz w:val="22"/>
          <w:szCs w:val="22"/>
        </w:rPr>
        <w:t>, sono abrogati i commi 769 e 770 della legge n. 160/2019 ed il loro contenuto viene trasfuso nel nuovo comma 7</w:t>
      </w:r>
      <w:r w:rsidRPr="007B301D">
        <w:rPr>
          <w:rFonts w:ascii="Bookman Old Style" w:hAnsi="Bookman Old Style"/>
          <w:sz w:val="22"/>
          <w:szCs w:val="22"/>
        </w:rPr>
        <w:t>68-</w:t>
      </w:r>
      <w:r w:rsidRPr="00E92F16">
        <w:rPr>
          <w:rFonts w:ascii="Bookman Old Style" w:hAnsi="Bookman Old Style"/>
          <w:i/>
          <w:iCs/>
          <w:sz w:val="22"/>
          <w:szCs w:val="22"/>
        </w:rPr>
        <w:t>bis</w:t>
      </w:r>
      <w:r>
        <w:rPr>
          <w:rFonts w:ascii="Bookman Old Style" w:hAnsi="Bookman Old Style"/>
          <w:sz w:val="22"/>
          <w:szCs w:val="22"/>
        </w:rPr>
        <w:t>.</w:t>
      </w:r>
    </w:p>
    <w:p w14:paraId="41BD3B75" w14:textId="1A151EAC" w:rsidR="007B301D" w:rsidRPr="007B301D" w:rsidRDefault="007B301D" w:rsidP="007B301D">
      <w:pPr>
        <w:jc w:val="both"/>
        <w:rPr>
          <w:rFonts w:ascii="Bookman Old Style" w:hAnsi="Bookman Old Style"/>
          <w:sz w:val="22"/>
          <w:szCs w:val="22"/>
        </w:rPr>
      </w:pPr>
      <w:r>
        <w:rPr>
          <w:rFonts w:ascii="Bookman Old Style" w:hAnsi="Bookman Old Style"/>
          <w:sz w:val="22"/>
          <w:szCs w:val="22"/>
        </w:rPr>
        <w:t xml:space="preserve">Si ricorda che l’invio telematico della </w:t>
      </w:r>
      <w:r w:rsidRPr="007B301D">
        <w:rPr>
          <w:rFonts w:ascii="Bookman Old Style" w:hAnsi="Bookman Old Style"/>
          <w:sz w:val="22"/>
          <w:szCs w:val="22"/>
        </w:rPr>
        <w:t>dichiarazione</w:t>
      </w:r>
      <w:r>
        <w:rPr>
          <w:rFonts w:ascii="Bookman Old Style" w:hAnsi="Bookman Old Style"/>
          <w:sz w:val="22"/>
          <w:szCs w:val="22"/>
        </w:rPr>
        <w:t xml:space="preserve"> era stato </w:t>
      </w:r>
      <w:r w:rsidRPr="007B301D">
        <w:rPr>
          <w:rFonts w:ascii="Bookman Old Style" w:hAnsi="Bookman Old Style"/>
          <w:sz w:val="22"/>
          <w:szCs w:val="22"/>
        </w:rPr>
        <w:t>già introdotto dall’art. 1, comma 719, della legge 147/2013 per gli enti non commerciali, ma effettuabile facoltativamente anche dagli altri soggetti passivi.</w:t>
      </w:r>
    </w:p>
    <w:p w14:paraId="69BF557E" w14:textId="0252B284" w:rsidR="007B301D" w:rsidRPr="007B301D" w:rsidRDefault="007B301D" w:rsidP="007B301D">
      <w:pPr>
        <w:jc w:val="both"/>
        <w:rPr>
          <w:rFonts w:ascii="Bookman Old Style" w:hAnsi="Bookman Old Style"/>
          <w:sz w:val="22"/>
          <w:szCs w:val="22"/>
        </w:rPr>
      </w:pPr>
      <w:r w:rsidRPr="007B301D">
        <w:rPr>
          <w:rFonts w:ascii="Bookman Old Style" w:hAnsi="Bookman Old Style"/>
          <w:sz w:val="22"/>
          <w:szCs w:val="22"/>
        </w:rPr>
        <w:t>Il nuovo comma 768-</w:t>
      </w:r>
      <w:r w:rsidRPr="00E92F16">
        <w:rPr>
          <w:rFonts w:ascii="Bookman Old Style" w:hAnsi="Bookman Old Style"/>
          <w:i/>
          <w:iCs/>
          <w:sz w:val="22"/>
          <w:szCs w:val="22"/>
        </w:rPr>
        <w:t>bis</w:t>
      </w:r>
      <w:r w:rsidRPr="007B301D">
        <w:rPr>
          <w:rFonts w:ascii="Bookman Old Style" w:hAnsi="Bookman Old Style"/>
          <w:sz w:val="22"/>
          <w:szCs w:val="22"/>
        </w:rPr>
        <w:t xml:space="preserve"> conferma per alcune fattispecie, un obbligo dichiarativo (“</w:t>
      </w:r>
      <w:r w:rsidRPr="004725B5">
        <w:rPr>
          <w:rFonts w:ascii="Bookman Old Style" w:hAnsi="Bookman Old Style"/>
          <w:i/>
          <w:iCs/>
          <w:sz w:val="22"/>
          <w:szCs w:val="22"/>
        </w:rPr>
        <w:t>in ogni caso</w:t>
      </w:r>
      <w:r w:rsidRPr="007B301D">
        <w:rPr>
          <w:rFonts w:ascii="Bookman Old Style" w:hAnsi="Bookman Old Style"/>
          <w:sz w:val="22"/>
          <w:szCs w:val="22"/>
        </w:rPr>
        <w:t xml:space="preserve">”), qualificato dalla giurisprudenza di legittimità come a pena di decadenza. In particolare, tale obbligo dichiarativo sussiste per gli alloggi sociali, per gli immobili dei militari e per i beni merce. </w:t>
      </w:r>
      <w:r>
        <w:rPr>
          <w:rFonts w:ascii="Bookman Old Style" w:hAnsi="Bookman Old Style"/>
          <w:sz w:val="22"/>
          <w:szCs w:val="22"/>
        </w:rPr>
        <w:t xml:space="preserve">È confermata l’ultrattività </w:t>
      </w:r>
      <w:r w:rsidRPr="007B301D">
        <w:rPr>
          <w:rFonts w:ascii="Bookman Old Style" w:hAnsi="Bookman Old Style"/>
          <w:sz w:val="22"/>
          <w:szCs w:val="22"/>
        </w:rPr>
        <w:t>della dichiarazione, che ha effetto anche per gli anni successivi, sempre che non si verifichino modificazioni dei dati ed elementi dichiarati cui consegua un diverso ammontare dell'imposta dovuta.</w:t>
      </w:r>
    </w:p>
    <w:p w14:paraId="2E584CAD" w14:textId="43AFFB5D" w:rsidR="007B301D" w:rsidRPr="007B301D" w:rsidRDefault="007B301D" w:rsidP="007B301D">
      <w:pPr>
        <w:jc w:val="both"/>
        <w:rPr>
          <w:rFonts w:ascii="Bookman Old Style" w:hAnsi="Bookman Old Style"/>
          <w:sz w:val="22"/>
          <w:szCs w:val="22"/>
        </w:rPr>
      </w:pPr>
      <w:r w:rsidRPr="007B301D">
        <w:rPr>
          <w:rFonts w:ascii="Bookman Old Style" w:hAnsi="Bookman Old Style"/>
          <w:sz w:val="22"/>
          <w:szCs w:val="22"/>
        </w:rPr>
        <w:lastRenderedPageBreak/>
        <w:t xml:space="preserve">Il decreto ministeriale che dovrà approvare le modalità di trasmissione disciplinerà anche i casi in cui deve essere presentata la dichiarazione. </w:t>
      </w:r>
    </w:p>
    <w:p w14:paraId="51FF76AA" w14:textId="5418AFC1" w:rsidR="007B301D" w:rsidRDefault="007B301D" w:rsidP="007B301D">
      <w:pPr>
        <w:jc w:val="both"/>
        <w:rPr>
          <w:rFonts w:ascii="Bookman Old Style" w:hAnsi="Bookman Old Style"/>
          <w:sz w:val="22"/>
          <w:szCs w:val="22"/>
        </w:rPr>
      </w:pPr>
      <w:r w:rsidRPr="007B301D">
        <w:rPr>
          <w:rFonts w:ascii="Bookman Old Style" w:hAnsi="Bookman Old Style"/>
          <w:sz w:val="22"/>
          <w:szCs w:val="22"/>
        </w:rPr>
        <w:t xml:space="preserve">Il </w:t>
      </w:r>
      <w:r>
        <w:rPr>
          <w:rFonts w:ascii="Bookman Old Style" w:hAnsi="Bookman Old Style"/>
          <w:sz w:val="22"/>
          <w:szCs w:val="22"/>
        </w:rPr>
        <w:t>comma</w:t>
      </w:r>
      <w:r w:rsidRPr="007B301D">
        <w:rPr>
          <w:rFonts w:ascii="Bookman Old Style" w:hAnsi="Bookman Old Style"/>
          <w:sz w:val="22"/>
          <w:szCs w:val="22"/>
        </w:rPr>
        <w:t xml:space="preserve"> 768-</w:t>
      </w:r>
      <w:r w:rsidRPr="004725B5">
        <w:rPr>
          <w:rFonts w:ascii="Bookman Old Style" w:hAnsi="Bookman Old Style"/>
          <w:i/>
          <w:iCs/>
          <w:sz w:val="22"/>
          <w:szCs w:val="22"/>
        </w:rPr>
        <w:t>bis</w:t>
      </w:r>
      <w:r w:rsidRPr="007B301D">
        <w:rPr>
          <w:rFonts w:ascii="Bookman Old Style" w:hAnsi="Bookman Old Style"/>
          <w:sz w:val="22"/>
          <w:szCs w:val="22"/>
        </w:rPr>
        <w:t xml:space="preserve">, </w:t>
      </w:r>
      <w:r>
        <w:rPr>
          <w:rFonts w:ascii="Bookman Old Style" w:hAnsi="Bookman Old Style"/>
          <w:sz w:val="22"/>
          <w:szCs w:val="22"/>
        </w:rPr>
        <w:t xml:space="preserve">della legge n. 160/2019, </w:t>
      </w:r>
      <w:r w:rsidRPr="007B301D">
        <w:rPr>
          <w:rFonts w:ascii="Bookman Old Style" w:hAnsi="Bookman Old Style"/>
          <w:sz w:val="22"/>
          <w:szCs w:val="22"/>
        </w:rPr>
        <w:t xml:space="preserve">conferma quanto già previsto dall’abrogato comma 770 </w:t>
      </w:r>
      <w:r>
        <w:rPr>
          <w:rFonts w:ascii="Bookman Old Style" w:hAnsi="Bookman Old Style"/>
          <w:sz w:val="22"/>
          <w:szCs w:val="22"/>
        </w:rPr>
        <w:t>p</w:t>
      </w:r>
      <w:r w:rsidRPr="007B301D">
        <w:rPr>
          <w:rFonts w:ascii="Bookman Old Style" w:hAnsi="Bookman Old Style"/>
          <w:sz w:val="22"/>
          <w:szCs w:val="22"/>
        </w:rPr>
        <w:t>er gli enti non commerciali, ovvero l’obbligo di presentare la dichiarazione ogni anno, anche in assenza di variazione degli elementi precedentemente dichiarati.</w:t>
      </w:r>
      <w:r>
        <w:rPr>
          <w:rFonts w:ascii="Bookman Old Style" w:hAnsi="Bookman Old Style"/>
          <w:sz w:val="22"/>
          <w:szCs w:val="22"/>
        </w:rPr>
        <w:t xml:space="preserve"> Si ripropongono, pertanto, le stesse criticità del passato, che vedono indistintamente tutti gli enti non commerciali tenuti alla presentazione annuale della dichiarazione anche nell’ipotesi in cui nulla sia variato. Invero, tale obbligo ha una sua ragione d’essere solo se riferito agli enti che possiedono immobili ad utilizzazione mista, ovvero quelli indicati nell’art. </w:t>
      </w:r>
      <w:r w:rsidRPr="007B301D">
        <w:rPr>
          <w:rFonts w:ascii="Bookman Old Style" w:hAnsi="Bookman Old Style"/>
          <w:sz w:val="22"/>
          <w:szCs w:val="22"/>
        </w:rPr>
        <w:t>all’art. 91-</w:t>
      </w:r>
      <w:r w:rsidRPr="004D71B7">
        <w:rPr>
          <w:rFonts w:ascii="Bookman Old Style" w:hAnsi="Bookman Old Style"/>
          <w:i/>
          <w:iCs/>
          <w:sz w:val="22"/>
          <w:szCs w:val="22"/>
        </w:rPr>
        <w:t>bis</w:t>
      </w:r>
      <w:r w:rsidRPr="007B301D">
        <w:rPr>
          <w:rFonts w:ascii="Bookman Old Style" w:hAnsi="Bookman Old Style"/>
          <w:sz w:val="22"/>
          <w:szCs w:val="22"/>
        </w:rPr>
        <w:t>, comma 3, decreto-legge n. 1 del 2012</w:t>
      </w:r>
      <w:r>
        <w:rPr>
          <w:rFonts w:ascii="Bookman Old Style" w:hAnsi="Bookman Old Style"/>
          <w:sz w:val="22"/>
          <w:szCs w:val="22"/>
        </w:rPr>
        <w:t xml:space="preserve">, per i quali effettivamente l’ammontare dell’imposta dovuta </w:t>
      </w:r>
      <w:r w:rsidR="00EF3C01">
        <w:rPr>
          <w:rFonts w:ascii="Bookman Old Style" w:hAnsi="Bookman Old Style"/>
          <w:sz w:val="22"/>
          <w:szCs w:val="22"/>
        </w:rPr>
        <w:t xml:space="preserve">è suscettibile di </w:t>
      </w:r>
      <w:r w:rsidR="00EF3C01" w:rsidRPr="007B301D">
        <w:rPr>
          <w:rFonts w:ascii="Bookman Old Style" w:hAnsi="Bookman Old Style"/>
          <w:sz w:val="22"/>
          <w:szCs w:val="22"/>
        </w:rPr>
        <w:t>variare continuamente</w:t>
      </w:r>
      <w:r w:rsidR="00EF3C01">
        <w:rPr>
          <w:rFonts w:ascii="Bookman Old Style" w:hAnsi="Bookman Old Style"/>
          <w:sz w:val="22"/>
          <w:szCs w:val="22"/>
        </w:rPr>
        <w:t xml:space="preserve">, poiché </w:t>
      </w:r>
      <w:r>
        <w:rPr>
          <w:rFonts w:ascii="Bookman Old Style" w:hAnsi="Bookman Old Style"/>
          <w:sz w:val="22"/>
          <w:szCs w:val="22"/>
        </w:rPr>
        <w:t>dipende</w:t>
      </w:r>
      <w:r w:rsidR="00EF3C01">
        <w:rPr>
          <w:rFonts w:ascii="Bookman Old Style" w:hAnsi="Bookman Old Style"/>
          <w:sz w:val="22"/>
          <w:szCs w:val="22"/>
        </w:rPr>
        <w:t xml:space="preserve"> </w:t>
      </w:r>
      <w:r>
        <w:rPr>
          <w:rFonts w:ascii="Bookman Old Style" w:hAnsi="Bookman Old Style"/>
          <w:sz w:val="22"/>
          <w:szCs w:val="22"/>
        </w:rPr>
        <w:t xml:space="preserve">dal </w:t>
      </w:r>
      <w:r w:rsidRPr="007B301D">
        <w:rPr>
          <w:rFonts w:ascii="Bookman Old Style" w:hAnsi="Bookman Old Style"/>
          <w:sz w:val="22"/>
          <w:szCs w:val="22"/>
        </w:rPr>
        <w:t>calcolo del rapporto proporzionale con riferimento allo spazio, al numero dei soggetti nei confronti dei quali vengono svolte le attività con modalità commerciali ovvero non commerciali e al tempo</w:t>
      </w:r>
      <w:r>
        <w:rPr>
          <w:rFonts w:ascii="Bookman Old Style" w:hAnsi="Bookman Old Style"/>
          <w:sz w:val="22"/>
          <w:szCs w:val="22"/>
        </w:rPr>
        <w:t>.</w:t>
      </w:r>
    </w:p>
    <w:p w14:paraId="2A3F3A70" w14:textId="77777777" w:rsidR="007B301D" w:rsidRDefault="007B301D" w:rsidP="00FB4466">
      <w:pPr>
        <w:jc w:val="both"/>
        <w:rPr>
          <w:rFonts w:ascii="Bookman Old Style" w:hAnsi="Bookman Old Style"/>
          <w:sz w:val="22"/>
          <w:szCs w:val="22"/>
        </w:rPr>
      </w:pPr>
    </w:p>
    <w:p w14:paraId="54F19486" w14:textId="77777777" w:rsidR="00FB4466" w:rsidRPr="00D313FE" w:rsidRDefault="00FB4466" w:rsidP="00B74F46">
      <w:pPr>
        <w:pStyle w:val="Titolo2"/>
        <w:rPr>
          <w:rFonts w:ascii="Bookman Old Style" w:hAnsi="Bookman Old Style"/>
          <w:b/>
          <w:bCs/>
          <w:sz w:val="22"/>
          <w:szCs w:val="22"/>
        </w:rPr>
      </w:pPr>
      <w:bookmarkStart w:id="19" w:name="_Toc240375126"/>
      <w:r w:rsidRPr="00D313FE">
        <w:rPr>
          <w:rFonts w:ascii="Bookman Old Style" w:hAnsi="Bookman Old Style"/>
          <w:b/>
          <w:bCs/>
          <w:sz w:val="22"/>
          <w:szCs w:val="22"/>
        </w:rPr>
        <w:t>Articolo 27 – Imposta immobiliare sulle piattaforme marine</w:t>
      </w:r>
      <w:bookmarkEnd w:id="19"/>
    </w:p>
    <w:p w14:paraId="52DBB5E4" w14:textId="77777777" w:rsidR="00FB4466" w:rsidRPr="00FB4466" w:rsidRDefault="00FB4466" w:rsidP="00FB4466">
      <w:pPr>
        <w:jc w:val="both"/>
        <w:rPr>
          <w:rFonts w:ascii="Bookman Old Style" w:hAnsi="Bookman Old Style"/>
          <w:sz w:val="22"/>
          <w:szCs w:val="22"/>
        </w:rPr>
      </w:pPr>
      <w:r w:rsidRPr="00FB4466">
        <w:rPr>
          <w:rFonts w:ascii="Bookman Old Style" w:hAnsi="Bookman Old Style"/>
          <w:sz w:val="22"/>
          <w:szCs w:val="22"/>
        </w:rPr>
        <w:t>La base imponibile dell’imposta immobiliare sulle piattaforme marine viene determinata facendo riferimento ai criteri previsti per i fabbricati classificabili nel gruppo catastale D non iscritti in catasto.</w:t>
      </w:r>
    </w:p>
    <w:p w14:paraId="51DDC42B" w14:textId="77777777" w:rsidR="00FB4466" w:rsidRDefault="00FB4466" w:rsidP="00FB4466">
      <w:pPr>
        <w:jc w:val="both"/>
        <w:rPr>
          <w:rFonts w:ascii="Bookman Old Style" w:hAnsi="Bookman Old Style"/>
          <w:sz w:val="22"/>
          <w:szCs w:val="22"/>
        </w:rPr>
      </w:pPr>
      <w:r w:rsidRPr="00FB4466">
        <w:rPr>
          <w:rFonts w:ascii="Bookman Old Style" w:hAnsi="Bookman Old Style"/>
          <w:sz w:val="22"/>
          <w:szCs w:val="22"/>
        </w:rPr>
        <w:t>Viene inoltre aggiornato il rinvio alla disciplina IMU vigente. L’intervento ha natura di coordinamento e razionalizzazione normativa e mira a rendere più chiaro il criterio di determinazione del valore imponibile.</w:t>
      </w:r>
    </w:p>
    <w:p w14:paraId="1C85B6FC" w14:textId="77777777" w:rsidR="00F24351" w:rsidRPr="00FB4466" w:rsidRDefault="00F24351" w:rsidP="00FB4466">
      <w:pPr>
        <w:jc w:val="both"/>
        <w:rPr>
          <w:rFonts w:ascii="Bookman Old Style" w:hAnsi="Bookman Old Style"/>
          <w:sz w:val="22"/>
          <w:szCs w:val="22"/>
        </w:rPr>
      </w:pPr>
    </w:p>
    <w:p w14:paraId="43BB8561" w14:textId="77777777" w:rsidR="00FB4466" w:rsidRPr="00D313FE" w:rsidRDefault="00FB4466" w:rsidP="00B74F46">
      <w:pPr>
        <w:pStyle w:val="Titolo2"/>
        <w:rPr>
          <w:rFonts w:ascii="Bookman Old Style" w:hAnsi="Bookman Old Style"/>
          <w:b/>
          <w:bCs/>
          <w:sz w:val="22"/>
          <w:szCs w:val="22"/>
        </w:rPr>
      </w:pPr>
      <w:bookmarkStart w:id="20" w:name="_Toc240375127"/>
      <w:r w:rsidRPr="00D313FE">
        <w:rPr>
          <w:rFonts w:ascii="Bookman Old Style" w:hAnsi="Bookman Old Style"/>
          <w:b/>
          <w:bCs/>
          <w:sz w:val="22"/>
          <w:szCs w:val="22"/>
        </w:rPr>
        <w:t>Articolo 28 – Modifiche in materia di TARI</w:t>
      </w:r>
      <w:bookmarkEnd w:id="20"/>
    </w:p>
    <w:p w14:paraId="0BF8B953" w14:textId="095AEC6B" w:rsidR="00FB4466" w:rsidRDefault="00FB4466" w:rsidP="00FB4466">
      <w:pPr>
        <w:jc w:val="both"/>
        <w:rPr>
          <w:rFonts w:ascii="Bookman Old Style" w:hAnsi="Bookman Old Style"/>
          <w:sz w:val="22"/>
          <w:szCs w:val="22"/>
        </w:rPr>
      </w:pPr>
      <w:r w:rsidRPr="00FB4466">
        <w:rPr>
          <w:rFonts w:ascii="Bookman Old Style" w:hAnsi="Bookman Old Style"/>
          <w:sz w:val="22"/>
          <w:szCs w:val="22"/>
        </w:rPr>
        <w:t>L’articolo elimina dalla disciplina i riferimenti ai rifiuti “assimilati”, adeguando la terminologia alla classificazione dei rifiuti urbani introdotta dal decreto legislativo n. 152 del 2006</w:t>
      </w:r>
      <w:r w:rsidR="00CE737A">
        <w:rPr>
          <w:rFonts w:ascii="Bookman Old Style" w:hAnsi="Bookman Old Style"/>
          <w:sz w:val="22"/>
          <w:szCs w:val="22"/>
        </w:rPr>
        <w:t xml:space="preserve"> (Testo unico ambientale – TUA)</w:t>
      </w:r>
      <w:r w:rsidR="00F24351">
        <w:rPr>
          <w:rFonts w:ascii="Bookman Old Style" w:hAnsi="Bookman Old Style"/>
          <w:sz w:val="22"/>
          <w:szCs w:val="22"/>
        </w:rPr>
        <w:t xml:space="preserve">, come modificato dal </w:t>
      </w:r>
      <w:r w:rsidR="00F24351" w:rsidRPr="0015669B">
        <w:rPr>
          <w:rFonts w:ascii="Bookman Old Style" w:hAnsi="Bookman Old Style"/>
          <w:sz w:val="22"/>
          <w:szCs w:val="22"/>
        </w:rPr>
        <w:t>d</w:t>
      </w:r>
      <w:r w:rsidR="00F24351">
        <w:rPr>
          <w:rFonts w:ascii="Bookman Old Style" w:hAnsi="Bookman Old Style"/>
          <w:sz w:val="22"/>
          <w:szCs w:val="22"/>
        </w:rPr>
        <w:t xml:space="preserve">ecreto legislativo </w:t>
      </w:r>
      <w:r w:rsidR="00F24351" w:rsidRPr="0015669B">
        <w:rPr>
          <w:rFonts w:ascii="Bookman Old Style" w:hAnsi="Bookman Old Style"/>
          <w:sz w:val="22"/>
          <w:szCs w:val="22"/>
        </w:rPr>
        <w:t>n. 116/2020</w:t>
      </w:r>
    </w:p>
    <w:p w14:paraId="40B06A3B" w14:textId="521B59A0" w:rsidR="00F24351" w:rsidRDefault="00F24351" w:rsidP="00FB4466">
      <w:pPr>
        <w:jc w:val="both"/>
        <w:rPr>
          <w:rFonts w:ascii="Bookman Old Style" w:hAnsi="Bookman Old Style"/>
          <w:sz w:val="22"/>
          <w:szCs w:val="22"/>
        </w:rPr>
      </w:pPr>
      <w:r>
        <w:rPr>
          <w:rFonts w:ascii="Bookman Old Style" w:hAnsi="Bookman Old Style"/>
          <w:sz w:val="22"/>
          <w:szCs w:val="22"/>
        </w:rPr>
        <w:t xml:space="preserve">La disposizione apporta varie modifiche alla legge n. 147/2013, al fine di rendere più unitario il quadro normativo di riferimento. In tale direzione </w:t>
      </w:r>
      <w:r w:rsidR="004F3F3C">
        <w:rPr>
          <w:rFonts w:ascii="Bookman Old Style" w:hAnsi="Bookman Old Style"/>
          <w:sz w:val="22"/>
          <w:szCs w:val="22"/>
        </w:rPr>
        <w:t xml:space="preserve">vanno </w:t>
      </w:r>
      <w:r>
        <w:rPr>
          <w:rFonts w:ascii="Bookman Old Style" w:hAnsi="Bookman Old Style"/>
          <w:sz w:val="22"/>
          <w:szCs w:val="22"/>
        </w:rPr>
        <w:t>le modifiche che ripropongono adempimenti già disciplinati dal d.lgs. n. 152/2006.</w:t>
      </w:r>
    </w:p>
    <w:p w14:paraId="1CBF1422" w14:textId="760C66D8" w:rsidR="00F24351" w:rsidRDefault="00F24351" w:rsidP="00F24351">
      <w:pPr>
        <w:jc w:val="both"/>
        <w:rPr>
          <w:rFonts w:ascii="Bookman Old Style" w:hAnsi="Bookman Old Style"/>
          <w:sz w:val="22"/>
          <w:szCs w:val="22"/>
        </w:rPr>
      </w:pPr>
      <w:r>
        <w:rPr>
          <w:rFonts w:ascii="Bookman Old Style" w:hAnsi="Bookman Old Style"/>
          <w:sz w:val="22"/>
          <w:szCs w:val="22"/>
        </w:rPr>
        <w:t>In particolare, i</w:t>
      </w:r>
      <w:r w:rsidRPr="0015669B">
        <w:rPr>
          <w:rFonts w:ascii="Bookman Old Style" w:hAnsi="Bookman Old Style"/>
          <w:sz w:val="22"/>
          <w:szCs w:val="22"/>
        </w:rPr>
        <w:t xml:space="preserve"> commi 654 e 658 della legge</w:t>
      </w:r>
      <w:r>
        <w:rPr>
          <w:rFonts w:ascii="Bookman Old Style" w:hAnsi="Bookman Old Style"/>
          <w:sz w:val="22"/>
          <w:szCs w:val="22"/>
        </w:rPr>
        <w:t xml:space="preserve"> n.</w:t>
      </w:r>
      <w:r w:rsidRPr="0015669B">
        <w:rPr>
          <w:rFonts w:ascii="Bookman Old Style" w:hAnsi="Bookman Old Style"/>
          <w:sz w:val="22"/>
          <w:szCs w:val="22"/>
        </w:rPr>
        <w:t xml:space="preserve"> 147/2013 </w:t>
      </w:r>
      <w:r>
        <w:rPr>
          <w:rFonts w:ascii="Bookman Old Style" w:hAnsi="Bookman Old Style"/>
          <w:sz w:val="22"/>
          <w:szCs w:val="22"/>
        </w:rPr>
        <w:t xml:space="preserve">recepiscono oggi </w:t>
      </w:r>
      <w:r w:rsidRPr="0015669B">
        <w:rPr>
          <w:rFonts w:ascii="Bookman Old Style" w:hAnsi="Bookman Old Style"/>
          <w:sz w:val="22"/>
          <w:szCs w:val="22"/>
        </w:rPr>
        <w:t xml:space="preserve">disposizioni già </w:t>
      </w:r>
      <w:r>
        <w:rPr>
          <w:rFonts w:ascii="Bookman Old Style" w:hAnsi="Bookman Old Style"/>
          <w:sz w:val="22"/>
          <w:szCs w:val="22"/>
        </w:rPr>
        <w:t xml:space="preserve">presenti nel </w:t>
      </w:r>
      <w:r w:rsidRPr="0015669B">
        <w:rPr>
          <w:rFonts w:ascii="Bookman Old Style" w:hAnsi="Bookman Old Style"/>
          <w:sz w:val="22"/>
          <w:szCs w:val="22"/>
        </w:rPr>
        <w:t xml:space="preserve">d.lgs. </w:t>
      </w:r>
      <w:r>
        <w:rPr>
          <w:rFonts w:ascii="Bookman Old Style" w:hAnsi="Bookman Old Style"/>
          <w:sz w:val="22"/>
          <w:szCs w:val="22"/>
        </w:rPr>
        <w:t xml:space="preserve">n. </w:t>
      </w:r>
      <w:r w:rsidRPr="0015669B">
        <w:rPr>
          <w:rFonts w:ascii="Bookman Old Style" w:hAnsi="Bookman Old Style"/>
          <w:sz w:val="22"/>
          <w:szCs w:val="22"/>
        </w:rPr>
        <w:t xml:space="preserve">152/2006, </w:t>
      </w:r>
      <w:r>
        <w:rPr>
          <w:rFonts w:ascii="Bookman Old Style" w:hAnsi="Bookman Old Style"/>
          <w:sz w:val="22"/>
          <w:szCs w:val="22"/>
        </w:rPr>
        <w:t xml:space="preserve">come </w:t>
      </w:r>
      <w:r w:rsidRPr="0015669B">
        <w:rPr>
          <w:rFonts w:ascii="Bookman Old Style" w:hAnsi="Bookman Old Style"/>
          <w:sz w:val="22"/>
          <w:szCs w:val="22"/>
        </w:rPr>
        <w:t>quelle relative ai costi accessori relativi alla gestione dei rifiuti urbani, come lo spazzamento delle strade (prevista nel comma 3, dell’art. 238 TUA) e quelle relative alle riduzioni tariffarie per le utenze non domestiche che effettuano il compostaggio aerobico (prevista nel comma 19-</w:t>
      </w:r>
      <w:r w:rsidRPr="004D71B7">
        <w:rPr>
          <w:rFonts w:ascii="Bookman Old Style" w:hAnsi="Bookman Old Style"/>
          <w:i/>
          <w:iCs/>
          <w:sz w:val="22"/>
          <w:szCs w:val="22"/>
        </w:rPr>
        <w:t>bis</w:t>
      </w:r>
      <w:r w:rsidRPr="0015669B">
        <w:rPr>
          <w:rFonts w:ascii="Bookman Old Style" w:hAnsi="Bookman Old Style"/>
          <w:sz w:val="22"/>
          <w:szCs w:val="22"/>
        </w:rPr>
        <w:t>, dell’art. 208 TUA).</w:t>
      </w:r>
    </w:p>
    <w:p w14:paraId="737E6305" w14:textId="2CFF6A58" w:rsidR="002C6748" w:rsidRDefault="00D32DF6" w:rsidP="00D32DF6">
      <w:pPr>
        <w:jc w:val="both"/>
        <w:rPr>
          <w:rFonts w:ascii="Bookman Old Style" w:hAnsi="Bookman Old Style"/>
          <w:sz w:val="22"/>
          <w:szCs w:val="22"/>
        </w:rPr>
      </w:pPr>
      <w:r>
        <w:rPr>
          <w:rFonts w:ascii="Bookman Old Style" w:hAnsi="Bookman Old Style"/>
          <w:sz w:val="22"/>
          <w:szCs w:val="22"/>
        </w:rPr>
        <w:t xml:space="preserve">La disciplina relativa alla possibilità di fuoriuscita dal servizio pubblico, prima contenuta nell’art. 238, comma 10, </w:t>
      </w:r>
      <w:r w:rsidR="00BB1726">
        <w:rPr>
          <w:rFonts w:ascii="Bookman Old Style" w:hAnsi="Bookman Old Style"/>
          <w:sz w:val="22"/>
          <w:szCs w:val="22"/>
        </w:rPr>
        <w:t>TUA</w:t>
      </w:r>
      <w:r>
        <w:rPr>
          <w:rFonts w:ascii="Bookman Old Style" w:hAnsi="Bookman Old Style"/>
          <w:sz w:val="22"/>
          <w:szCs w:val="22"/>
        </w:rPr>
        <w:t xml:space="preserve"> è oggi riprodotta nel nuovo comma 649-</w:t>
      </w:r>
      <w:r w:rsidRPr="004725B5">
        <w:rPr>
          <w:rFonts w:ascii="Bookman Old Style" w:hAnsi="Bookman Old Style"/>
          <w:i/>
          <w:iCs/>
          <w:sz w:val="22"/>
          <w:szCs w:val="22"/>
        </w:rPr>
        <w:t>bis</w:t>
      </w:r>
      <w:r>
        <w:rPr>
          <w:rFonts w:ascii="Bookman Old Style" w:hAnsi="Bookman Old Style"/>
          <w:sz w:val="22"/>
          <w:szCs w:val="22"/>
        </w:rPr>
        <w:t>, legge n 147/2013. La disposizione conferma la possibilità per le u</w:t>
      </w:r>
      <w:r w:rsidR="00F24351" w:rsidRPr="0015669B">
        <w:rPr>
          <w:rFonts w:ascii="Bookman Old Style" w:hAnsi="Bookman Old Style"/>
          <w:sz w:val="22"/>
          <w:szCs w:val="22"/>
        </w:rPr>
        <w:t>tenze non domestiche che producono rifiuti urbani e che li conferiscono, in tutto o in parte, al di fuori del servizio pubblico dimostran</w:t>
      </w:r>
      <w:r w:rsidR="00CE6BAF">
        <w:rPr>
          <w:rFonts w:ascii="Bookman Old Style" w:hAnsi="Bookman Old Style"/>
          <w:sz w:val="22"/>
          <w:szCs w:val="22"/>
        </w:rPr>
        <w:t>do</w:t>
      </w:r>
      <w:r w:rsidR="00F24351" w:rsidRPr="0015669B">
        <w:rPr>
          <w:rFonts w:ascii="Bookman Old Style" w:hAnsi="Bookman Old Style"/>
          <w:sz w:val="22"/>
          <w:szCs w:val="22"/>
        </w:rPr>
        <w:t xml:space="preserve"> di averli avviati al riciclo o al recupero, di uscire dal servizio </w:t>
      </w:r>
      <w:r w:rsidR="00F24351" w:rsidRPr="0015669B">
        <w:rPr>
          <w:rFonts w:ascii="Bookman Old Style" w:hAnsi="Bookman Old Style"/>
          <w:sz w:val="22"/>
          <w:szCs w:val="22"/>
        </w:rPr>
        <w:lastRenderedPageBreak/>
        <w:t>pubblico, per un periodo non inferiore a due anni</w:t>
      </w:r>
      <w:r>
        <w:rPr>
          <w:rFonts w:ascii="Bookman Old Style" w:hAnsi="Bookman Old Style"/>
          <w:sz w:val="22"/>
          <w:szCs w:val="22"/>
        </w:rPr>
        <w:t xml:space="preserve">. Prima per tali utenze era prevista </w:t>
      </w:r>
      <w:r w:rsidR="00F24351" w:rsidRPr="0015669B">
        <w:rPr>
          <w:rFonts w:ascii="Bookman Old Style" w:hAnsi="Bookman Old Style"/>
          <w:sz w:val="22"/>
          <w:szCs w:val="22"/>
        </w:rPr>
        <w:t>l’esclusione dalla corresponsione della componente tariffaria “rapportata” alla quantità dei rifiuti conferiti</w:t>
      </w:r>
      <w:r w:rsidR="002C6748">
        <w:rPr>
          <w:rFonts w:ascii="Bookman Old Style" w:hAnsi="Bookman Old Style"/>
          <w:sz w:val="22"/>
          <w:szCs w:val="22"/>
        </w:rPr>
        <w:t>, previsione che in passato ha generato il dubbio se nel caso di conferimento autonomo di una sola parte dei rifiuti urbani spettasse comun</w:t>
      </w:r>
      <w:r w:rsidR="008C23C3">
        <w:rPr>
          <w:rFonts w:ascii="Bookman Old Style" w:hAnsi="Bookman Old Style"/>
          <w:sz w:val="22"/>
          <w:szCs w:val="22"/>
        </w:rPr>
        <w:t>qu</w:t>
      </w:r>
      <w:r w:rsidR="002C6748">
        <w:rPr>
          <w:rFonts w:ascii="Bookman Old Style" w:hAnsi="Bookman Old Style"/>
          <w:sz w:val="22"/>
          <w:szCs w:val="22"/>
        </w:rPr>
        <w:t>e l’esclusione totale della parte variabile della tariffa, o invece una riduzione proporzionale. La novella sostituisce il termine “rapportata” con “proporzionata”, chiarendo quindi che può spettare una riduzione proporzionale, invero similmente a quanto già previsto dal comma 649 della medesima legge n. 147/2026.</w:t>
      </w:r>
    </w:p>
    <w:p w14:paraId="71978011" w14:textId="2DB34770" w:rsidR="00F24351" w:rsidRDefault="002C6748" w:rsidP="00F24351">
      <w:pPr>
        <w:jc w:val="both"/>
        <w:rPr>
          <w:rFonts w:ascii="Bookman Old Style" w:hAnsi="Bookman Old Style"/>
          <w:sz w:val="22"/>
          <w:szCs w:val="22"/>
        </w:rPr>
      </w:pPr>
      <w:r>
        <w:rPr>
          <w:rFonts w:ascii="Bookman Old Style" w:hAnsi="Bookman Old Style"/>
          <w:sz w:val="22"/>
          <w:szCs w:val="22"/>
        </w:rPr>
        <w:t>La previsione della esclusione, o della riduzione, della sola quota variabile, conferma la debenza comunque della quota fissa, come peraltro costantemente ritenuto dal giudice di legittimità</w:t>
      </w:r>
      <w:r w:rsidR="001953B9">
        <w:rPr>
          <w:rFonts w:ascii="Bookman Old Style" w:hAnsi="Bookman Old Style"/>
          <w:sz w:val="22"/>
          <w:szCs w:val="22"/>
        </w:rPr>
        <w:t>.</w:t>
      </w:r>
      <w:r>
        <w:rPr>
          <w:rFonts w:ascii="Bookman Old Style" w:hAnsi="Bookman Old Style"/>
          <w:sz w:val="22"/>
          <w:szCs w:val="22"/>
        </w:rPr>
        <w:t xml:space="preserve"> </w:t>
      </w:r>
    </w:p>
    <w:p w14:paraId="48A36F7C" w14:textId="60067755" w:rsidR="00F24351" w:rsidRPr="00610BF9" w:rsidRDefault="00F24351" w:rsidP="00F24351">
      <w:pPr>
        <w:jc w:val="both"/>
        <w:rPr>
          <w:rFonts w:ascii="Bookman Old Style" w:hAnsi="Bookman Old Style"/>
          <w:sz w:val="22"/>
          <w:szCs w:val="22"/>
        </w:rPr>
      </w:pPr>
      <w:r w:rsidRPr="0015669B">
        <w:rPr>
          <w:rFonts w:ascii="Bookman Old Style" w:hAnsi="Bookman Old Style"/>
          <w:sz w:val="22"/>
          <w:szCs w:val="22"/>
        </w:rPr>
        <w:t xml:space="preserve">Infine, </w:t>
      </w:r>
      <w:r w:rsidR="002C6748" w:rsidRPr="004725B5">
        <w:rPr>
          <w:rFonts w:ascii="Bookman Old Style" w:hAnsi="Bookman Old Style"/>
          <w:b/>
          <w:bCs/>
          <w:sz w:val="22"/>
          <w:szCs w:val="22"/>
        </w:rPr>
        <w:t xml:space="preserve">si modifica il </w:t>
      </w:r>
      <w:r w:rsidRPr="004725B5">
        <w:rPr>
          <w:rFonts w:ascii="Bookman Old Style" w:hAnsi="Bookman Old Style"/>
          <w:b/>
          <w:bCs/>
          <w:sz w:val="22"/>
          <w:szCs w:val="22"/>
        </w:rPr>
        <w:t>termine di presentazione della dichiarazione T</w:t>
      </w:r>
      <w:r w:rsidR="001953B9" w:rsidRPr="004725B5">
        <w:rPr>
          <w:rFonts w:ascii="Bookman Old Style" w:hAnsi="Bookman Old Style"/>
          <w:b/>
          <w:bCs/>
          <w:sz w:val="22"/>
          <w:szCs w:val="22"/>
        </w:rPr>
        <w:t>ARI</w:t>
      </w:r>
      <w:r w:rsidRPr="0015669B">
        <w:rPr>
          <w:rFonts w:ascii="Bookman Old Style" w:hAnsi="Bookman Old Style"/>
          <w:sz w:val="22"/>
          <w:szCs w:val="22"/>
        </w:rPr>
        <w:t>, dal 30 giugno dell’anno successivo a 90 giorni dalla data di inizio dell’occupazione, in linea con quanto già previsto da</w:t>
      </w:r>
      <w:r w:rsidR="002C6748">
        <w:rPr>
          <w:rFonts w:ascii="Bookman Old Style" w:hAnsi="Bookman Old Style"/>
          <w:sz w:val="22"/>
          <w:szCs w:val="22"/>
        </w:rPr>
        <w:t>l</w:t>
      </w:r>
      <w:r w:rsidRPr="0015669B">
        <w:rPr>
          <w:rFonts w:ascii="Bookman Old Style" w:hAnsi="Bookman Old Style"/>
          <w:sz w:val="22"/>
          <w:szCs w:val="22"/>
        </w:rPr>
        <w:t xml:space="preserve"> TQRIF di ARERA</w:t>
      </w:r>
      <w:r w:rsidR="002F4881" w:rsidRPr="0015669B">
        <w:rPr>
          <w:rFonts w:ascii="Bookman Old Style" w:hAnsi="Bookman Old Style"/>
          <w:sz w:val="22"/>
          <w:szCs w:val="22"/>
        </w:rPr>
        <w:t>.</w:t>
      </w:r>
      <w:r w:rsidR="00610BF9">
        <w:rPr>
          <w:rFonts w:ascii="Bookman Old Style" w:hAnsi="Bookman Old Style"/>
          <w:sz w:val="22"/>
          <w:szCs w:val="22"/>
        </w:rPr>
        <w:t xml:space="preserve"> </w:t>
      </w:r>
      <w:r w:rsidR="00BF4FAC" w:rsidRPr="00DB450E">
        <w:rPr>
          <w:rFonts w:ascii="Bookman Old Style" w:hAnsi="Bookman Old Style"/>
          <w:sz w:val="22"/>
          <w:szCs w:val="22"/>
        </w:rPr>
        <w:t>La modifica impone ai Comuni e ai gestori un aggiornamento dei regolamenti, dei modelli dichiarativi e dei sistemi di acquisizione delle informazioni.</w:t>
      </w:r>
    </w:p>
    <w:p w14:paraId="40F8BF90" w14:textId="77777777" w:rsidR="00F24351" w:rsidRPr="0015669B" w:rsidRDefault="00F24351" w:rsidP="00F24351">
      <w:pPr>
        <w:jc w:val="both"/>
        <w:rPr>
          <w:rFonts w:ascii="Bookman Old Style" w:hAnsi="Bookman Old Style"/>
          <w:sz w:val="22"/>
          <w:szCs w:val="22"/>
        </w:rPr>
      </w:pPr>
    </w:p>
    <w:p w14:paraId="0F7D6904" w14:textId="77777777" w:rsidR="00FB4466" w:rsidRPr="00D313FE" w:rsidRDefault="00FB4466" w:rsidP="00B74F46">
      <w:pPr>
        <w:pStyle w:val="Titolo2"/>
        <w:rPr>
          <w:rFonts w:ascii="Bookman Old Style" w:hAnsi="Bookman Old Style"/>
          <w:b/>
          <w:bCs/>
          <w:sz w:val="22"/>
          <w:szCs w:val="22"/>
        </w:rPr>
      </w:pPr>
      <w:bookmarkStart w:id="21" w:name="_Toc240375128"/>
      <w:r w:rsidRPr="00D313FE">
        <w:rPr>
          <w:rFonts w:ascii="Bookman Old Style" w:hAnsi="Bookman Old Style"/>
          <w:b/>
          <w:bCs/>
          <w:sz w:val="22"/>
          <w:szCs w:val="22"/>
        </w:rPr>
        <w:t>Articolo 29 – Modifica dell’articolo 238 del Codice dell’ambiente</w:t>
      </w:r>
      <w:bookmarkEnd w:id="21"/>
    </w:p>
    <w:p w14:paraId="593267AA" w14:textId="77777777" w:rsidR="00FB4466" w:rsidRPr="00FB4466" w:rsidRDefault="00FB4466" w:rsidP="00FB4466">
      <w:pPr>
        <w:jc w:val="both"/>
        <w:rPr>
          <w:rFonts w:ascii="Bookman Old Style" w:hAnsi="Bookman Old Style"/>
          <w:sz w:val="22"/>
          <w:szCs w:val="22"/>
        </w:rPr>
      </w:pPr>
      <w:r w:rsidRPr="00FB4466">
        <w:rPr>
          <w:rFonts w:ascii="Bookman Old Style" w:hAnsi="Bookman Old Style"/>
          <w:sz w:val="22"/>
          <w:szCs w:val="22"/>
        </w:rPr>
        <w:t>La norma sostituisce l’articolo 238 del decreto legislativo n. 152 del 2006 e stabilisce che, per i rifiuti conferiti al servizio pubblico, si applica la disciplina dei prelievi sui rifiuti urbani prevista dalla legge n. 147 del 2013, comprese le disposizioni sulla tariffa corrispettiva.</w:t>
      </w:r>
    </w:p>
    <w:p w14:paraId="7DBFBAD9" w14:textId="77777777" w:rsidR="00FB4466" w:rsidRDefault="00FB4466" w:rsidP="00FB4466">
      <w:pPr>
        <w:jc w:val="both"/>
        <w:rPr>
          <w:rFonts w:ascii="Bookman Old Style" w:hAnsi="Bookman Old Style"/>
          <w:sz w:val="22"/>
          <w:szCs w:val="22"/>
        </w:rPr>
      </w:pPr>
      <w:r w:rsidRPr="00FB4466">
        <w:rPr>
          <w:rFonts w:ascii="Bookman Old Style" w:hAnsi="Bookman Old Style"/>
          <w:sz w:val="22"/>
          <w:szCs w:val="22"/>
        </w:rPr>
        <w:t>La modifica ha funzione di coordinamento e chiarisce la prevalenza della disciplina TARI e della tariffa puntuale rispetto alla precedente formulazione dell’articolo 238.</w:t>
      </w:r>
    </w:p>
    <w:p w14:paraId="6277264C" w14:textId="77777777" w:rsidR="002C6748" w:rsidRPr="00FB4466" w:rsidRDefault="002C6748" w:rsidP="00FB4466">
      <w:pPr>
        <w:jc w:val="both"/>
        <w:rPr>
          <w:rFonts w:ascii="Bookman Old Style" w:hAnsi="Bookman Old Style"/>
          <w:sz w:val="22"/>
          <w:szCs w:val="22"/>
        </w:rPr>
      </w:pPr>
    </w:p>
    <w:p w14:paraId="3F700BB8" w14:textId="77777777" w:rsidR="00FB4466" w:rsidRPr="00D313FE" w:rsidRDefault="00FB4466" w:rsidP="00B74F46">
      <w:pPr>
        <w:pStyle w:val="Titolo2"/>
        <w:rPr>
          <w:rFonts w:ascii="Bookman Old Style" w:hAnsi="Bookman Old Style"/>
          <w:b/>
          <w:bCs/>
          <w:sz w:val="22"/>
          <w:szCs w:val="22"/>
        </w:rPr>
      </w:pPr>
      <w:bookmarkStart w:id="22" w:name="_Toc240375129"/>
      <w:r w:rsidRPr="00D313FE">
        <w:rPr>
          <w:rFonts w:ascii="Bookman Old Style" w:hAnsi="Bookman Old Style"/>
          <w:b/>
          <w:bCs/>
          <w:sz w:val="22"/>
          <w:szCs w:val="22"/>
        </w:rPr>
        <w:t>Articolo 30 – Efficacia delle delibere sul canone unico</w:t>
      </w:r>
      <w:bookmarkEnd w:id="22"/>
    </w:p>
    <w:p w14:paraId="487E7978" w14:textId="77777777" w:rsidR="00FB4466" w:rsidRPr="00FB4466" w:rsidRDefault="00FB4466" w:rsidP="00FB4466">
      <w:pPr>
        <w:jc w:val="both"/>
        <w:rPr>
          <w:rFonts w:ascii="Bookman Old Style" w:hAnsi="Bookman Old Style"/>
          <w:sz w:val="22"/>
          <w:szCs w:val="22"/>
        </w:rPr>
      </w:pPr>
      <w:r w:rsidRPr="00FB4466">
        <w:rPr>
          <w:rFonts w:ascii="Bookman Old Style" w:hAnsi="Bookman Old Style"/>
          <w:sz w:val="22"/>
          <w:szCs w:val="22"/>
        </w:rPr>
        <w:t>Dal 2026, alle delibere regolamentari e tariffarie relative al canone unico si applicano gli obblighi di trasmissione e pubblicazione nel portale del federalismo fiscale previsti per i tributi locali.</w:t>
      </w:r>
    </w:p>
    <w:p w14:paraId="3706D273" w14:textId="77777777" w:rsidR="00FB4466" w:rsidRPr="00FB4466" w:rsidRDefault="00FB4466" w:rsidP="00FB4466">
      <w:pPr>
        <w:jc w:val="both"/>
        <w:rPr>
          <w:rFonts w:ascii="Bookman Old Style" w:hAnsi="Bookman Old Style"/>
          <w:sz w:val="22"/>
          <w:szCs w:val="22"/>
        </w:rPr>
      </w:pPr>
      <w:r w:rsidRPr="004725B5">
        <w:rPr>
          <w:rFonts w:ascii="Bookman Old Style" w:hAnsi="Bookman Old Style"/>
          <w:b/>
          <w:bCs/>
          <w:sz w:val="22"/>
          <w:szCs w:val="22"/>
        </w:rPr>
        <w:t>Per le annualità dal 2021 al 2025 è introdotta una sanatoria: le delibere già adottate acquistano efficacia, per ciascun anno, se inserite nel portale entro il termine perentorio del 31 ottobre 2026</w:t>
      </w:r>
      <w:r w:rsidRPr="00FB4466">
        <w:rPr>
          <w:rFonts w:ascii="Bookman Old Style" w:hAnsi="Bookman Old Style"/>
          <w:sz w:val="22"/>
          <w:szCs w:val="22"/>
        </w:rPr>
        <w:t xml:space="preserve"> e pubblicate dal Dipartimento delle finanze entro il 30 novembre.</w:t>
      </w:r>
    </w:p>
    <w:p w14:paraId="1BC46829" w14:textId="53E1B3EB" w:rsidR="00FB4466" w:rsidRDefault="00FB4466" w:rsidP="00FB4466">
      <w:pPr>
        <w:jc w:val="both"/>
        <w:rPr>
          <w:rFonts w:ascii="Bookman Old Style" w:hAnsi="Bookman Old Style"/>
          <w:sz w:val="22"/>
          <w:szCs w:val="22"/>
        </w:rPr>
      </w:pPr>
      <w:r w:rsidRPr="00FB4466">
        <w:rPr>
          <w:rFonts w:ascii="Bookman Old Style" w:hAnsi="Bookman Old Style"/>
          <w:sz w:val="22"/>
          <w:szCs w:val="22"/>
        </w:rPr>
        <w:t xml:space="preserve">La previsione risolve l’incertezza derivante dall’assenza, negli anni precedenti, di un’esplicita estensione al canone unico del sistema di pubblicazione applicabile ai tributi. Per il futuro, tuttavia, l’efficacia delle delibere sarà condizionata al rispetto degli obblighi e delle scadenze di trasmissione, con conseguenze </w:t>
      </w:r>
      <w:r w:rsidR="007321E8">
        <w:rPr>
          <w:rFonts w:ascii="Bookman Old Style" w:hAnsi="Bookman Old Style"/>
          <w:sz w:val="22"/>
          <w:szCs w:val="22"/>
        </w:rPr>
        <w:t>di inefficacia</w:t>
      </w:r>
      <w:r w:rsidR="001550C1">
        <w:rPr>
          <w:rFonts w:ascii="Bookman Old Style" w:hAnsi="Bookman Old Style"/>
          <w:sz w:val="22"/>
          <w:szCs w:val="22"/>
        </w:rPr>
        <w:t xml:space="preserve"> dei provvedimenti</w:t>
      </w:r>
      <w:r w:rsidR="007321E8" w:rsidRPr="00FB4466">
        <w:rPr>
          <w:rFonts w:ascii="Bookman Old Style" w:hAnsi="Bookman Old Style"/>
          <w:sz w:val="22"/>
          <w:szCs w:val="22"/>
        </w:rPr>
        <w:t xml:space="preserve"> </w:t>
      </w:r>
      <w:r w:rsidRPr="00FB4466">
        <w:rPr>
          <w:rFonts w:ascii="Bookman Old Style" w:hAnsi="Bookman Old Style"/>
          <w:sz w:val="22"/>
          <w:szCs w:val="22"/>
        </w:rPr>
        <w:t>in caso di omissione o ritardo.</w:t>
      </w:r>
    </w:p>
    <w:p w14:paraId="536253F0" w14:textId="0EE93406" w:rsidR="00CD5DA6" w:rsidRPr="00CD5DA6" w:rsidRDefault="00CD5DA6" w:rsidP="00CD5DA6">
      <w:pPr>
        <w:jc w:val="both"/>
        <w:rPr>
          <w:rFonts w:ascii="Bookman Old Style" w:hAnsi="Bookman Old Style"/>
          <w:sz w:val="22"/>
          <w:szCs w:val="22"/>
        </w:rPr>
      </w:pPr>
      <w:r w:rsidRPr="00CD5DA6">
        <w:rPr>
          <w:rFonts w:ascii="Bookman Old Style" w:hAnsi="Bookman Old Style"/>
          <w:sz w:val="22"/>
          <w:szCs w:val="22"/>
        </w:rPr>
        <w:t xml:space="preserve">Con comunicato del 19 agosto 2026 il Dipartimento delle finanze ha </w:t>
      </w:r>
      <w:r>
        <w:rPr>
          <w:rFonts w:ascii="Bookman Old Style" w:hAnsi="Bookman Old Style"/>
          <w:sz w:val="22"/>
          <w:szCs w:val="22"/>
        </w:rPr>
        <w:t xml:space="preserve">reso nota </w:t>
      </w:r>
      <w:r w:rsidRPr="00CD5DA6">
        <w:rPr>
          <w:rFonts w:ascii="Bookman Old Style" w:hAnsi="Bookman Old Style"/>
          <w:sz w:val="22"/>
          <w:szCs w:val="22"/>
        </w:rPr>
        <w:t xml:space="preserve">l’apertura dell’applicazione informatica “Gestione altri tributi comunali” del Portale del federalismo </w:t>
      </w:r>
      <w:r w:rsidRPr="00CD5DA6">
        <w:rPr>
          <w:rFonts w:ascii="Bookman Old Style" w:hAnsi="Bookman Old Style"/>
          <w:sz w:val="22"/>
          <w:szCs w:val="22"/>
        </w:rPr>
        <w:lastRenderedPageBreak/>
        <w:t xml:space="preserve">fiscale, nella quale dovranno essere pubblicati i regolamenti e le delibere tariffarie relative al CUP approvate dal 2021 al 2025. </w:t>
      </w:r>
    </w:p>
    <w:p w14:paraId="7E3AF8D9" w14:textId="77777777" w:rsidR="00CD5DA6" w:rsidRPr="00CD5DA6" w:rsidRDefault="00CD5DA6" w:rsidP="00CD5DA6">
      <w:pPr>
        <w:jc w:val="both"/>
        <w:rPr>
          <w:rFonts w:ascii="Bookman Old Style" w:hAnsi="Bookman Old Style"/>
          <w:sz w:val="22"/>
          <w:szCs w:val="22"/>
        </w:rPr>
      </w:pPr>
      <w:r w:rsidRPr="00CD5DA6">
        <w:rPr>
          <w:rFonts w:ascii="Bookman Old Style" w:hAnsi="Bookman Old Style"/>
          <w:sz w:val="22"/>
          <w:szCs w:val="22"/>
        </w:rPr>
        <w:t xml:space="preserve">Nel comunicato si precisa che, per quanto riguarda </w:t>
      </w:r>
      <w:r w:rsidRPr="004725B5">
        <w:rPr>
          <w:rFonts w:ascii="Bookman Old Style" w:hAnsi="Bookman Old Style"/>
          <w:b/>
          <w:bCs/>
          <w:sz w:val="22"/>
          <w:szCs w:val="22"/>
        </w:rPr>
        <w:t>le delibere relative all’anno d’imposta 2026, trova applicazione il regime ordinario</w:t>
      </w:r>
      <w:r w:rsidRPr="00CD5DA6">
        <w:rPr>
          <w:rFonts w:ascii="Bookman Old Style" w:hAnsi="Bookman Old Style"/>
          <w:sz w:val="22"/>
          <w:szCs w:val="22"/>
        </w:rPr>
        <w:t>, di cui all’art. 13, commi 15, 15-</w:t>
      </w:r>
      <w:r w:rsidRPr="004D71B7">
        <w:rPr>
          <w:rFonts w:ascii="Bookman Old Style" w:hAnsi="Bookman Old Style"/>
          <w:i/>
          <w:iCs/>
          <w:sz w:val="22"/>
          <w:szCs w:val="22"/>
        </w:rPr>
        <w:t>bis</w:t>
      </w:r>
      <w:r w:rsidRPr="00CD5DA6">
        <w:rPr>
          <w:rFonts w:ascii="Bookman Old Style" w:hAnsi="Bookman Old Style"/>
          <w:sz w:val="22"/>
          <w:szCs w:val="22"/>
        </w:rPr>
        <w:t xml:space="preserve"> e 15-</w:t>
      </w:r>
      <w:r w:rsidRPr="004D71B7">
        <w:rPr>
          <w:rFonts w:ascii="Bookman Old Style" w:hAnsi="Bookman Old Style"/>
          <w:i/>
          <w:iCs/>
          <w:sz w:val="22"/>
          <w:szCs w:val="22"/>
        </w:rPr>
        <w:t>ter</w:t>
      </w:r>
      <w:r w:rsidRPr="00CD5DA6">
        <w:rPr>
          <w:rFonts w:ascii="Bookman Old Style" w:hAnsi="Bookman Old Style"/>
          <w:sz w:val="22"/>
          <w:szCs w:val="22"/>
        </w:rPr>
        <w:t xml:space="preserve"> del decreto legge n. 201 del 2011, che prevede la </w:t>
      </w:r>
      <w:r w:rsidRPr="004725B5">
        <w:rPr>
          <w:rFonts w:ascii="Bookman Old Style" w:hAnsi="Bookman Old Style"/>
          <w:b/>
          <w:bCs/>
          <w:sz w:val="22"/>
          <w:szCs w:val="22"/>
        </w:rPr>
        <w:t>trasmissione delle delibere tariffarie entro il 14 ottobre 2026</w:t>
      </w:r>
      <w:r w:rsidRPr="00CD5DA6">
        <w:rPr>
          <w:rFonts w:ascii="Bookman Old Style" w:hAnsi="Bookman Old Style"/>
          <w:sz w:val="22"/>
          <w:szCs w:val="22"/>
        </w:rPr>
        <w:t>, ai fini della pubblicazione, con efficacia costitutiva entro il 28 ottobre 2026, come peraltro già evidenziato nella circolare n. 1/DF del 22 maggio 2026.</w:t>
      </w:r>
    </w:p>
    <w:p w14:paraId="5C3D9E33" w14:textId="4528DDD7" w:rsidR="008424E0" w:rsidRDefault="00CD5DA6" w:rsidP="00CD5DA6">
      <w:pPr>
        <w:jc w:val="both"/>
        <w:rPr>
          <w:rFonts w:ascii="Bookman Old Style" w:hAnsi="Bookman Old Style"/>
          <w:sz w:val="22"/>
          <w:szCs w:val="22"/>
        </w:rPr>
      </w:pPr>
      <w:r w:rsidRPr="00CD5DA6">
        <w:rPr>
          <w:rFonts w:ascii="Bookman Old Style" w:hAnsi="Bookman Old Style"/>
          <w:sz w:val="22"/>
          <w:szCs w:val="22"/>
        </w:rPr>
        <w:t>Sempre in tema di canone unico patrimoniale, si segnala che l’art. 31, d.lgs. n. 147 del 2026 ha modificato l’art. 1, comma 819, lett. a),</w:t>
      </w:r>
    </w:p>
    <w:p w14:paraId="58DCB353" w14:textId="77777777" w:rsidR="00FB4466" w:rsidRPr="00D313FE" w:rsidRDefault="00FB4466" w:rsidP="00B74F46">
      <w:pPr>
        <w:pStyle w:val="Titolo2"/>
        <w:rPr>
          <w:rFonts w:ascii="Bookman Old Style" w:hAnsi="Bookman Old Style"/>
          <w:b/>
          <w:bCs/>
          <w:sz w:val="22"/>
          <w:szCs w:val="22"/>
        </w:rPr>
      </w:pPr>
      <w:bookmarkStart w:id="23" w:name="_Toc240375130"/>
      <w:r w:rsidRPr="00D313FE">
        <w:rPr>
          <w:rFonts w:ascii="Bookman Old Style" w:hAnsi="Bookman Old Style"/>
          <w:b/>
          <w:bCs/>
          <w:sz w:val="22"/>
          <w:szCs w:val="22"/>
        </w:rPr>
        <w:t>Articolo 31 – Esclusione di balconi, verande e infissi stabili dal canone unico</w:t>
      </w:r>
      <w:bookmarkEnd w:id="23"/>
    </w:p>
    <w:p w14:paraId="51315C35" w14:textId="5BA9EE2F" w:rsidR="00CD5DA6" w:rsidRDefault="00FB4466" w:rsidP="00CD5DA6">
      <w:pPr>
        <w:jc w:val="both"/>
        <w:rPr>
          <w:rFonts w:ascii="Bookman Old Style" w:hAnsi="Bookman Old Style"/>
          <w:sz w:val="22"/>
          <w:szCs w:val="22"/>
        </w:rPr>
      </w:pPr>
      <w:r w:rsidRPr="00FB4466">
        <w:rPr>
          <w:rFonts w:ascii="Bookman Old Style" w:hAnsi="Bookman Old Style"/>
          <w:sz w:val="22"/>
          <w:szCs w:val="22"/>
        </w:rPr>
        <w:t>La disposizione esclude dall’occupazione di suolo pubblico assoggettata al canone unico i balconi, le verande, i bow-window e gli infissi similari di carattere stabile.</w:t>
      </w:r>
      <w:r w:rsidR="00CD5DA6" w:rsidRPr="00CD5DA6">
        <w:rPr>
          <w:rFonts w:ascii="Bookman Old Style" w:hAnsi="Bookman Old Style"/>
          <w:sz w:val="22"/>
          <w:szCs w:val="22"/>
        </w:rPr>
        <w:t xml:space="preserve"> La nuova disposizione ricalca esattamente quanto già previsto in tema di Tosap dall’abrogato art. 38, d.lgs. n. 507 del 1993.</w:t>
      </w:r>
    </w:p>
    <w:p w14:paraId="7AEC40CC" w14:textId="6B95960E" w:rsidR="00FB4466" w:rsidRPr="00DB450E" w:rsidRDefault="00FB4466" w:rsidP="00FB4466">
      <w:pPr>
        <w:jc w:val="both"/>
        <w:rPr>
          <w:rFonts w:ascii="Bookman Old Style" w:hAnsi="Bookman Old Style"/>
          <w:strike/>
          <w:sz w:val="22"/>
          <w:szCs w:val="22"/>
        </w:rPr>
      </w:pPr>
      <w:r w:rsidRPr="00FB4466">
        <w:rPr>
          <w:rFonts w:ascii="Bookman Old Style" w:hAnsi="Bookman Old Style"/>
          <w:sz w:val="22"/>
          <w:szCs w:val="22"/>
        </w:rPr>
        <w:t>La norma interviene su una questione interpretativa che ha prodotto applicazioni differenziate</w:t>
      </w:r>
      <w:r w:rsidR="00E8685E">
        <w:rPr>
          <w:rFonts w:ascii="Bookman Old Style" w:hAnsi="Bookman Old Style"/>
          <w:sz w:val="22"/>
          <w:szCs w:val="22"/>
        </w:rPr>
        <w:t xml:space="preserve">, ma in prevalenza orientate </w:t>
      </w:r>
      <w:r w:rsidR="00CD00CD">
        <w:rPr>
          <w:rFonts w:ascii="Bookman Old Style" w:hAnsi="Bookman Old Style"/>
          <w:sz w:val="22"/>
          <w:szCs w:val="22"/>
        </w:rPr>
        <w:t>all’esclusione di tali fattispecie</w:t>
      </w:r>
      <w:r w:rsidR="00CD5DA6">
        <w:rPr>
          <w:rFonts w:ascii="Bookman Old Style" w:hAnsi="Bookman Old Style"/>
          <w:sz w:val="22"/>
          <w:szCs w:val="22"/>
        </w:rPr>
        <w:t>, come avveniva per la Tosap</w:t>
      </w:r>
      <w:r w:rsidRPr="00FB4466">
        <w:rPr>
          <w:rFonts w:ascii="Bookman Old Style" w:hAnsi="Bookman Old Style"/>
          <w:sz w:val="22"/>
          <w:szCs w:val="22"/>
        </w:rPr>
        <w:t xml:space="preserve">. </w:t>
      </w:r>
    </w:p>
    <w:p w14:paraId="70FBF1FD" w14:textId="77777777" w:rsidR="00CD5DA6" w:rsidRPr="00FB4466" w:rsidRDefault="00CD5DA6" w:rsidP="00FB4466">
      <w:pPr>
        <w:jc w:val="both"/>
        <w:rPr>
          <w:rFonts w:ascii="Bookman Old Style" w:hAnsi="Bookman Old Style"/>
          <w:sz w:val="22"/>
          <w:szCs w:val="22"/>
        </w:rPr>
      </w:pPr>
    </w:p>
    <w:p w14:paraId="547ED8C1" w14:textId="77777777" w:rsidR="00FB4466" w:rsidRPr="00D313FE" w:rsidRDefault="00FB4466" w:rsidP="00B74F46">
      <w:pPr>
        <w:pStyle w:val="Titolo2"/>
        <w:rPr>
          <w:rFonts w:ascii="Bookman Old Style" w:hAnsi="Bookman Old Style"/>
          <w:b/>
          <w:bCs/>
          <w:sz w:val="22"/>
          <w:szCs w:val="22"/>
        </w:rPr>
      </w:pPr>
      <w:bookmarkStart w:id="24" w:name="_Toc240375131"/>
      <w:r w:rsidRPr="00D313FE">
        <w:rPr>
          <w:rFonts w:ascii="Bookman Old Style" w:hAnsi="Bookman Old Style"/>
          <w:b/>
          <w:bCs/>
          <w:sz w:val="22"/>
          <w:szCs w:val="22"/>
        </w:rPr>
        <w:t>Articolo 32 – IMU su fabbricati con rendita impugnata</w:t>
      </w:r>
      <w:bookmarkEnd w:id="24"/>
    </w:p>
    <w:p w14:paraId="214E4DB0" w14:textId="56C5385D" w:rsidR="00FB4466" w:rsidRPr="00FB4466" w:rsidRDefault="00FB4466" w:rsidP="00FB4466">
      <w:pPr>
        <w:jc w:val="both"/>
        <w:rPr>
          <w:rFonts w:ascii="Bookman Old Style" w:hAnsi="Bookman Old Style"/>
          <w:sz w:val="22"/>
          <w:szCs w:val="22"/>
        </w:rPr>
      </w:pPr>
      <w:r w:rsidRPr="00FB4466">
        <w:rPr>
          <w:rFonts w:ascii="Bookman Old Style" w:hAnsi="Bookman Old Style"/>
          <w:sz w:val="22"/>
          <w:szCs w:val="22"/>
        </w:rPr>
        <w:t xml:space="preserve">In caso di impugnazione della rendita catastale rettificata dall’Agenzia delle entrate, il </w:t>
      </w:r>
      <w:r w:rsidR="002F6932">
        <w:rPr>
          <w:rFonts w:ascii="Bookman Old Style" w:hAnsi="Bookman Old Style"/>
          <w:sz w:val="22"/>
          <w:szCs w:val="22"/>
        </w:rPr>
        <w:t>C</w:t>
      </w:r>
      <w:r w:rsidRPr="00FB4466">
        <w:rPr>
          <w:rFonts w:ascii="Bookman Old Style" w:hAnsi="Bookman Old Style"/>
          <w:sz w:val="22"/>
          <w:szCs w:val="22"/>
        </w:rPr>
        <w:t>omune può accertare la maggiore IMU derivante dalla differenza tra rendita proposta e rendita rettificata entro il 31 dicembre del quinto anno successivo al passaggio in giudicato della sentenza.</w:t>
      </w:r>
    </w:p>
    <w:p w14:paraId="54073027" w14:textId="09644B25" w:rsidR="00FB4466" w:rsidRPr="00FB4466" w:rsidRDefault="00FB4466" w:rsidP="00FB4466">
      <w:pPr>
        <w:jc w:val="both"/>
        <w:rPr>
          <w:rFonts w:ascii="Bookman Old Style" w:hAnsi="Bookman Old Style"/>
          <w:sz w:val="22"/>
          <w:szCs w:val="22"/>
        </w:rPr>
      </w:pPr>
      <w:r w:rsidRPr="00FB4466">
        <w:rPr>
          <w:rFonts w:ascii="Bookman Old Style" w:hAnsi="Bookman Old Style"/>
          <w:sz w:val="22"/>
          <w:szCs w:val="22"/>
        </w:rPr>
        <w:t xml:space="preserve">La maggiore imposta è dovuta dalla data di presentazione dell’atto di aggiornamento catastale, ma si applicano soltanto gli interessi legali, senza sanzioni. Simmetricamente, il contribuente può richiedere entro lo stesso termine il rimborso delle somme non dovute e il </w:t>
      </w:r>
      <w:r w:rsidR="00597E5B">
        <w:rPr>
          <w:rFonts w:ascii="Bookman Old Style" w:hAnsi="Bookman Old Style"/>
          <w:sz w:val="22"/>
          <w:szCs w:val="22"/>
        </w:rPr>
        <w:t>C</w:t>
      </w:r>
      <w:r w:rsidRPr="00FB4466">
        <w:rPr>
          <w:rFonts w:ascii="Bookman Old Style" w:hAnsi="Bookman Old Style"/>
          <w:sz w:val="22"/>
          <w:szCs w:val="22"/>
        </w:rPr>
        <w:t>omune deve provvedere entro centottanta giorni.</w:t>
      </w:r>
    </w:p>
    <w:p w14:paraId="32CF327E" w14:textId="3EC4EB48" w:rsidR="00FB4466" w:rsidRDefault="00FB4466" w:rsidP="00FB4466">
      <w:pPr>
        <w:jc w:val="both"/>
        <w:rPr>
          <w:rFonts w:ascii="Bookman Old Style" w:hAnsi="Bookman Old Style"/>
          <w:sz w:val="22"/>
          <w:szCs w:val="22"/>
        </w:rPr>
      </w:pPr>
      <w:r w:rsidRPr="00FB4466">
        <w:rPr>
          <w:rFonts w:ascii="Bookman Old Style" w:hAnsi="Bookman Old Style"/>
          <w:sz w:val="22"/>
          <w:szCs w:val="22"/>
        </w:rPr>
        <w:t xml:space="preserve">La norma introduce una deroga al termine ordinario di accertamento, evitando che la durata del contenzioso catastale impedisca il recupero dell’imposta. I </w:t>
      </w:r>
      <w:r w:rsidR="007C2D7A">
        <w:rPr>
          <w:rFonts w:ascii="Bookman Old Style" w:hAnsi="Bookman Old Style"/>
          <w:sz w:val="22"/>
          <w:szCs w:val="22"/>
        </w:rPr>
        <w:t>C</w:t>
      </w:r>
      <w:r w:rsidRPr="00FB4466">
        <w:rPr>
          <w:rFonts w:ascii="Bookman Old Style" w:hAnsi="Bookman Old Style"/>
          <w:sz w:val="22"/>
          <w:szCs w:val="22"/>
        </w:rPr>
        <w:t>omuni dovranno monitorare le controversie e conservare i dati necessari anche oltre i normali termini di decadenza.</w:t>
      </w:r>
    </w:p>
    <w:p w14:paraId="190FFA62" w14:textId="3088C2D5" w:rsidR="001320E8" w:rsidRPr="001320E8" w:rsidRDefault="00853C4F" w:rsidP="001320E8">
      <w:pPr>
        <w:jc w:val="both"/>
        <w:rPr>
          <w:rFonts w:ascii="Bookman Old Style" w:hAnsi="Bookman Old Style"/>
          <w:sz w:val="22"/>
          <w:szCs w:val="22"/>
        </w:rPr>
      </w:pPr>
      <w:r>
        <w:rPr>
          <w:rFonts w:ascii="Bookman Old Style" w:hAnsi="Bookman Old Style"/>
          <w:sz w:val="22"/>
          <w:szCs w:val="22"/>
        </w:rPr>
        <w:t>In sostanza, l</w:t>
      </w:r>
      <w:r w:rsidR="001320E8" w:rsidRPr="001320E8">
        <w:rPr>
          <w:rFonts w:ascii="Bookman Old Style" w:hAnsi="Bookman Old Style"/>
          <w:sz w:val="22"/>
          <w:szCs w:val="22"/>
        </w:rPr>
        <w:t>’art. 32 introduce una nuova modalità di accertamento per recuperare la differenza di IMU scaturente dalla rettifica in aumento operata dall’Agenzia delle entrate rispetto alla rendita proposta dal contribuente.</w:t>
      </w:r>
    </w:p>
    <w:p w14:paraId="15053275" w14:textId="77777777" w:rsidR="001320E8" w:rsidRPr="001320E8" w:rsidRDefault="001320E8" w:rsidP="001320E8">
      <w:pPr>
        <w:jc w:val="both"/>
        <w:rPr>
          <w:rFonts w:ascii="Bookman Old Style" w:hAnsi="Bookman Old Style"/>
          <w:sz w:val="22"/>
          <w:szCs w:val="22"/>
        </w:rPr>
      </w:pPr>
      <w:r w:rsidRPr="001320E8">
        <w:rPr>
          <w:rFonts w:ascii="Bookman Old Style" w:hAnsi="Bookman Old Style"/>
          <w:sz w:val="22"/>
          <w:szCs w:val="22"/>
        </w:rPr>
        <w:t xml:space="preserve">La nuova disposizione, in vigore dal 12 agosto 2026, dispone che, in caso di impugnazione della rendita catastale a seguito della rettifica operata dall’Agenzia delle entrate, il Comune accerti l’eventuale maggiore IMU dovuta, a decorrere dalla data di presentazione del DOCFA, entro il 31 dicembre del quinto anno successivo a quello del passaggio in giudicato della sentenza che decide la controversia catastale, con applicazione dei soli interessi legali. </w:t>
      </w:r>
      <w:r w:rsidRPr="001320E8">
        <w:rPr>
          <w:rFonts w:ascii="Bookman Old Style" w:hAnsi="Bookman Old Style"/>
          <w:sz w:val="22"/>
          <w:szCs w:val="22"/>
        </w:rPr>
        <w:lastRenderedPageBreak/>
        <w:t>Entro gli stessi termini, è richiesto il rimborso delle somme versate e non dovute, che il Comune rimborsa entro centottanta giorni.</w:t>
      </w:r>
    </w:p>
    <w:p w14:paraId="19668368" w14:textId="2CA4441C" w:rsidR="001320E8" w:rsidRPr="001320E8" w:rsidRDefault="001320E8" w:rsidP="001320E8">
      <w:pPr>
        <w:jc w:val="both"/>
        <w:rPr>
          <w:rFonts w:ascii="Bookman Old Style" w:hAnsi="Bookman Old Style"/>
          <w:sz w:val="22"/>
          <w:szCs w:val="22"/>
        </w:rPr>
      </w:pPr>
      <w:r w:rsidRPr="001320E8">
        <w:rPr>
          <w:rFonts w:ascii="Bookman Old Style" w:hAnsi="Bookman Old Style"/>
          <w:sz w:val="22"/>
          <w:szCs w:val="22"/>
        </w:rPr>
        <w:t>La nuova disposizione risolve una serie di problematiche, tutelando le ragioni sia del contribuente che del Comune.</w:t>
      </w:r>
      <w:r w:rsidR="005D33C6">
        <w:rPr>
          <w:rFonts w:ascii="Bookman Old Style" w:hAnsi="Bookman Old Style"/>
          <w:sz w:val="22"/>
          <w:szCs w:val="22"/>
        </w:rPr>
        <w:t xml:space="preserve"> Infatti, </w:t>
      </w:r>
      <w:r w:rsidRPr="001320E8">
        <w:rPr>
          <w:rFonts w:ascii="Bookman Old Style" w:hAnsi="Bookman Old Style"/>
          <w:sz w:val="22"/>
          <w:szCs w:val="22"/>
        </w:rPr>
        <w:t xml:space="preserve">occorre considerare che la procedura di accertamento “ordinario” prevista dal comma 161 della legge n. 296/2006 non prevede alcuna sospensione dell’attività accertativa comunale in caso di impugnazione della rendita, sicché nell’ipotesi in cui il contribuente avesse continuato a pagare sulla rendita proposta, e non su quella successiva rettificata, il Comune sarebbe stato costretto a notificare l’atto di accertamento, non potendo </w:t>
      </w:r>
      <w:r w:rsidR="005D33C6">
        <w:rPr>
          <w:rFonts w:ascii="Bookman Old Style" w:hAnsi="Bookman Old Style"/>
          <w:sz w:val="22"/>
          <w:szCs w:val="22"/>
        </w:rPr>
        <w:t xml:space="preserve">attendere </w:t>
      </w:r>
      <w:r w:rsidRPr="001320E8">
        <w:rPr>
          <w:rFonts w:ascii="Bookman Old Style" w:hAnsi="Bookman Old Style"/>
          <w:sz w:val="22"/>
          <w:szCs w:val="22"/>
        </w:rPr>
        <w:t xml:space="preserve">la chiusura della controversia catastale, che </w:t>
      </w:r>
      <w:r w:rsidR="005D33C6">
        <w:rPr>
          <w:rFonts w:ascii="Bookman Old Style" w:hAnsi="Bookman Old Style"/>
          <w:sz w:val="22"/>
          <w:szCs w:val="22"/>
        </w:rPr>
        <w:t xml:space="preserve">nel caso in </w:t>
      </w:r>
      <w:r w:rsidRPr="001320E8">
        <w:rPr>
          <w:rFonts w:ascii="Bookman Old Style" w:hAnsi="Bookman Old Style"/>
          <w:sz w:val="22"/>
          <w:szCs w:val="22"/>
        </w:rPr>
        <w:t>si percorr</w:t>
      </w:r>
      <w:r w:rsidR="005D33C6">
        <w:rPr>
          <w:rFonts w:ascii="Bookman Old Style" w:hAnsi="Bookman Old Style"/>
          <w:sz w:val="22"/>
          <w:szCs w:val="22"/>
        </w:rPr>
        <w:t>a</w:t>
      </w:r>
      <w:r w:rsidRPr="001320E8">
        <w:rPr>
          <w:rFonts w:ascii="Bookman Old Style" w:hAnsi="Bookman Old Style"/>
          <w:sz w:val="22"/>
          <w:szCs w:val="22"/>
        </w:rPr>
        <w:t xml:space="preserve">no tutti e tre i gradi di giudizio, </w:t>
      </w:r>
      <w:r w:rsidR="005D33C6">
        <w:rPr>
          <w:rFonts w:ascii="Bookman Old Style" w:hAnsi="Bookman Old Style"/>
          <w:sz w:val="22"/>
          <w:szCs w:val="22"/>
        </w:rPr>
        <w:t>può richiedere anche dieci anni</w:t>
      </w:r>
      <w:r w:rsidRPr="001320E8">
        <w:rPr>
          <w:rFonts w:ascii="Bookman Old Style" w:hAnsi="Bookman Old Style"/>
          <w:sz w:val="22"/>
          <w:szCs w:val="22"/>
        </w:rPr>
        <w:t>. Il contribuente era quindi costretto ad impugnare l’atto di accertamento comunale e di norma la causa veniva sospesa per pregiudizialità, rimanendo congelata fino alla conclusione della lite catastale. Questo meccanismo tutelava il Comune ed anche il contribuente, ma aveva il risvolto di essere oneroso, per entrambe le parti.</w:t>
      </w:r>
    </w:p>
    <w:p w14:paraId="0CCBEDE6" w14:textId="77777777" w:rsidR="001320E8" w:rsidRPr="001320E8" w:rsidRDefault="001320E8" w:rsidP="001320E8">
      <w:pPr>
        <w:jc w:val="both"/>
        <w:rPr>
          <w:rFonts w:ascii="Bookman Old Style" w:hAnsi="Bookman Old Style"/>
          <w:sz w:val="22"/>
          <w:szCs w:val="22"/>
        </w:rPr>
      </w:pPr>
      <w:r w:rsidRPr="001320E8">
        <w:rPr>
          <w:rFonts w:ascii="Bookman Old Style" w:hAnsi="Bookman Old Style"/>
          <w:sz w:val="22"/>
          <w:szCs w:val="22"/>
        </w:rPr>
        <w:t>A ciò si aggiunge il problema dell’immediata esecutività delle sentenze catastali prevista dall’art. 69, d.lgs. n. 546/1992, sebbene la sentenza non sia sufficiente ad ottenere l’annullamento dell’accertamento comunale, possibile solo con un accertamento passato in giudicato e non con una esecutività provvisoria (Cass. 20240/2024).</w:t>
      </w:r>
    </w:p>
    <w:p w14:paraId="06723E1D" w14:textId="64AA769E" w:rsidR="001320E8" w:rsidRPr="001320E8" w:rsidRDefault="001320E8" w:rsidP="001320E8">
      <w:pPr>
        <w:jc w:val="both"/>
        <w:rPr>
          <w:rFonts w:ascii="Bookman Old Style" w:hAnsi="Bookman Old Style"/>
          <w:sz w:val="22"/>
          <w:szCs w:val="22"/>
        </w:rPr>
      </w:pPr>
      <w:r w:rsidRPr="001320E8">
        <w:rPr>
          <w:rFonts w:ascii="Bookman Old Style" w:hAnsi="Bookman Old Style"/>
          <w:sz w:val="22"/>
          <w:szCs w:val="22"/>
        </w:rPr>
        <w:t>In caso di esito favorevole al contribuente si poneva poi il problema degli anni rimborsabili, nel caso in cui il contribuente avesse deciso di pagare sulla rendita rettificata. Il termine per presentare il rimborso è di cinque anni dalla data del versamento o dalla data in cui è stato accertato il diritto al rimborso (art. 1, comma 164, legge n. 296/2006), e nel caso di impugnazione della rendita, il termine di cinque anni inizia a decorrere dalla data di passaggio in giudicato della sentenza che ha deciso la lite catastale. Ma, rispettato il termine decadenziale per la presentazione dell’istanza di rimborso si poneva il problema degli anni rimborsabili, anche considerando che gli effetti della sentenza retroagiscono alla data della domanda</w:t>
      </w:r>
      <w:r w:rsidR="008F6E6F">
        <w:rPr>
          <w:rFonts w:ascii="Bookman Old Style" w:hAnsi="Bookman Old Style"/>
          <w:sz w:val="22"/>
          <w:szCs w:val="22"/>
        </w:rPr>
        <w:t xml:space="preserve">, potendosi </w:t>
      </w:r>
      <w:r w:rsidR="000D0972">
        <w:rPr>
          <w:rFonts w:ascii="Bookman Old Style" w:hAnsi="Bookman Old Style"/>
          <w:sz w:val="22"/>
          <w:szCs w:val="22"/>
        </w:rPr>
        <w:t xml:space="preserve">così configurare </w:t>
      </w:r>
      <w:r w:rsidR="008F6E6F">
        <w:rPr>
          <w:rFonts w:ascii="Bookman Old Style" w:hAnsi="Bookman Old Style"/>
          <w:sz w:val="22"/>
          <w:szCs w:val="22"/>
        </w:rPr>
        <w:t>period</w:t>
      </w:r>
      <w:r w:rsidR="00927934">
        <w:rPr>
          <w:rFonts w:ascii="Bookman Old Style" w:hAnsi="Bookman Old Style"/>
          <w:sz w:val="22"/>
          <w:szCs w:val="22"/>
        </w:rPr>
        <w:t>i di rimborso superiori agli ordinari cinque anni</w:t>
      </w:r>
      <w:r w:rsidRPr="001320E8">
        <w:rPr>
          <w:rFonts w:ascii="Bookman Old Style" w:hAnsi="Bookman Old Style"/>
          <w:sz w:val="22"/>
          <w:szCs w:val="22"/>
        </w:rPr>
        <w:t xml:space="preserve">. </w:t>
      </w:r>
    </w:p>
    <w:p w14:paraId="67C5A2CB" w14:textId="131D3E5A" w:rsidR="001320E8" w:rsidRPr="001320E8" w:rsidRDefault="001320E8" w:rsidP="001320E8">
      <w:pPr>
        <w:jc w:val="both"/>
        <w:rPr>
          <w:rFonts w:ascii="Bookman Old Style" w:hAnsi="Bookman Old Style"/>
          <w:sz w:val="22"/>
          <w:szCs w:val="22"/>
        </w:rPr>
      </w:pPr>
      <w:r w:rsidRPr="001320E8">
        <w:rPr>
          <w:rFonts w:ascii="Bookman Old Style" w:hAnsi="Bookman Old Style"/>
          <w:sz w:val="22"/>
          <w:szCs w:val="22"/>
        </w:rPr>
        <w:t xml:space="preserve">La nuova disposizione risolve queste problematiche, autorizzando, da un lato, il contribuente a pagare sulla rendita proposta, e non su quella rettificata, evitando così il problema del rimborso, e, dall’altro lato, </w:t>
      </w:r>
      <w:r w:rsidR="005D33C6">
        <w:rPr>
          <w:rFonts w:ascii="Bookman Old Style" w:hAnsi="Bookman Old Style"/>
          <w:sz w:val="22"/>
          <w:szCs w:val="22"/>
        </w:rPr>
        <w:t xml:space="preserve">prevedendo per gli enti impositori </w:t>
      </w:r>
      <w:r w:rsidRPr="001320E8">
        <w:rPr>
          <w:rFonts w:ascii="Bookman Old Style" w:hAnsi="Bookman Old Style"/>
          <w:sz w:val="22"/>
          <w:szCs w:val="22"/>
        </w:rPr>
        <w:t xml:space="preserve">dei termini decadenziali </w:t>
      </w:r>
      <w:r w:rsidR="005D33C6">
        <w:rPr>
          <w:rFonts w:ascii="Bookman Old Style" w:hAnsi="Bookman Old Style"/>
          <w:sz w:val="22"/>
          <w:szCs w:val="22"/>
        </w:rPr>
        <w:t xml:space="preserve">per la notifica dell’accertamento, </w:t>
      </w:r>
      <w:r w:rsidRPr="001320E8">
        <w:rPr>
          <w:rFonts w:ascii="Bookman Old Style" w:hAnsi="Bookman Old Style"/>
          <w:sz w:val="22"/>
          <w:szCs w:val="22"/>
        </w:rPr>
        <w:t>in deroga a quelli ordinari, che durano sempre cinque anni, ma iniziano a decorrere dalla data del passaggio in giudicato della sentenza catastale.</w:t>
      </w:r>
      <w:r w:rsidR="005D33C6">
        <w:rPr>
          <w:rFonts w:ascii="Bookman Old Style" w:hAnsi="Bookman Old Style"/>
          <w:sz w:val="22"/>
          <w:szCs w:val="22"/>
        </w:rPr>
        <w:t xml:space="preserve"> Ne consegue che se la controversia catastale dura, ad esempio, 13 anni, il Comune è legittimato a notificate atti di accertamento per tutti gli anni, con l’applicazione degli interessi legali, ma senza comminare sanzioni.</w:t>
      </w:r>
    </w:p>
    <w:p w14:paraId="299A0FBD" w14:textId="79AD09A9" w:rsidR="001320E8" w:rsidRPr="001320E8" w:rsidRDefault="001320E8" w:rsidP="001320E8">
      <w:pPr>
        <w:jc w:val="both"/>
        <w:rPr>
          <w:rFonts w:ascii="Bookman Old Style" w:hAnsi="Bookman Old Style"/>
          <w:sz w:val="22"/>
          <w:szCs w:val="22"/>
        </w:rPr>
      </w:pPr>
      <w:r w:rsidRPr="001320E8">
        <w:rPr>
          <w:rFonts w:ascii="Bookman Old Style" w:hAnsi="Bookman Old Style"/>
          <w:sz w:val="22"/>
          <w:szCs w:val="22"/>
        </w:rPr>
        <w:t>La disposizione si applica a tutte quelle annualità ancora accertabili alla data del 12 agosto 2026. Per cui se la controversia catastale è sorta nel 202</w:t>
      </w:r>
      <w:r w:rsidR="005D33C6">
        <w:rPr>
          <w:rFonts w:ascii="Bookman Old Style" w:hAnsi="Bookman Old Style"/>
          <w:sz w:val="22"/>
          <w:szCs w:val="22"/>
        </w:rPr>
        <w:t>1</w:t>
      </w:r>
      <w:r w:rsidRPr="001320E8">
        <w:rPr>
          <w:rFonts w:ascii="Bookman Old Style" w:hAnsi="Bookman Old Style"/>
          <w:sz w:val="22"/>
          <w:szCs w:val="22"/>
        </w:rPr>
        <w:t xml:space="preserve"> ed il Comune non ha ancora notificato l’accertamento IMU, potrà attendere l’esito della controversia.</w:t>
      </w:r>
    </w:p>
    <w:p w14:paraId="11ADF5DB" w14:textId="77777777" w:rsidR="00CD5DA6" w:rsidRDefault="00CD5DA6" w:rsidP="00FB4466">
      <w:pPr>
        <w:jc w:val="both"/>
        <w:rPr>
          <w:rFonts w:ascii="Bookman Old Style" w:hAnsi="Bookman Old Style"/>
          <w:sz w:val="22"/>
          <w:szCs w:val="22"/>
        </w:rPr>
      </w:pPr>
    </w:p>
    <w:p w14:paraId="296F778C" w14:textId="77777777" w:rsidR="001C2914" w:rsidRPr="00D313FE" w:rsidRDefault="001C2914" w:rsidP="00B74F46">
      <w:pPr>
        <w:pStyle w:val="Titolo2"/>
        <w:rPr>
          <w:rFonts w:ascii="Bookman Old Style" w:hAnsi="Bookman Old Style"/>
          <w:b/>
          <w:bCs/>
          <w:sz w:val="22"/>
          <w:szCs w:val="22"/>
        </w:rPr>
      </w:pPr>
      <w:bookmarkStart w:id="25" w:name="_Toc240375132"/>
      <w:r w:rsidRPr="00D313FE">
        <w:rPr>
          <w:rFonts w:ascii="Bookman Old Style" w:hAnsi="Bookman Old Style"/>
          <w:b/>
          <w:bCs/>
          <w:sz w:val="22"/>
          <w:szCs w:val="22"/>
        </w:rPr>
        <w:lastRenderedPageBreak/>
        <w:t>Articolo 35 – Tavolo tecnico sulla fiscalizzazione dei trasferimenti comunali</w:t>
      </w:r>
      <w:bookmarkEnd w:id="25"/>
    </w:p>
    <w:p w14:paraId="344A05A9" w14:textId="77777777" w:rsidR="001C2914" w:rsidRPr="00FB4466" w:rsidRDefault="001C2914" w:rsidP="001C2914">
      <w:pPr>
        <w:jc w:val="both"/>
        <w:rPr>
          <w:rFonts w:ascii="Bookman Old Style" w:hAnsi="Bookman Old Style"/>
          <w:sz w:val="22"/>
          <w:szCs w:val="22"/>
        </w:rPr>
      </w:pPr>
      <w:r w:rsidRPr="00FB4466">
        <w:rPr>
          <w:rFonts w:ascii="Bookman Old Style" w:hAnsi="Bookman Old Style"/>
          <w:sz w:val="22"/>
          <w:szCs w:val="22"/>
        </w:rPr>
        <w:t>Entro sessanta giorni dall’entrata in vigore deve essere istituito presso il Ministero dell’economia e delle finanze un tavolo tecnico composto da rappresentanti del MEF, del Ministero dell’interno, del Dipartimento per gli affari regionali e le autonomie e da due rappresentanti dell’ANCI.</w:t>
      </w:r>
    </w:p>
    <w:p w14:paraId="16C7E908" w14:textId="77777777" w:rsidR="001C2914" w:rsidRPr="00FB4466" w:rsidRDefault="001C2914" w:rsidP="001C2914">
      <w:pPr>
        <w:jc w:val="both"/>
        <w:rPr>
          <w:rFonts w:ascii="Bookman Old Style" w:hAnsi="Bookman Old Style"/>
          <w:sz w:val="22"/>
          <w:szCs w:val="22"/>
        </w:rPr>
      </w:pPr>
      <w:r w:rsidRPr="00FB4466">
        <w:rPr>
          <w:rFonts w:ascii="Bookman Old Style" w:hAnsi="Bookman Old Style"/>
          <w:sz w:val="22"/>
          <w:szCs w:val="22"/>
        </w:rPr>
        <w:t xml:space="preserve">Il tavolo è incaricato di studiare modalità di fiscalizzazione dei trasferimenti spettanti ai </w:t>
      </w:r>
      <w:r>
        <w:rPr>
          <w:rFonts w:ascii="Bookman Old Style" w:hAnsi="Bookman Old Style"/>
          <w:sz w:val="22"/>
          <w:szCs w:val="22"/>
        </w:rPr>
        <w:t>C</w:t>
      </w:r>
      <w:r w:rsidRPr="00FB4466">
        <w:rPr>
          <w:rFonts w:ascii="Bookman Old Style" w:hAnsi="Bookman Old Style"/>
          <w:sz w:val="22"/>
          <w:szCs w:val="22"/>
        </w:rPr>
        <w:t>omuni e meccanismi di compartecipazione ai tributi erariali.</w:t>
      </w:r>
    </w:p>
    <w:p w14:paraId="0E439A12" w14:textId="7A957C03" w:rsidR="001C2914" w:rsidRDefault="001C2914" w:rsidP="001C2914">
      <w:pPr>
        <w:jc w:val="both"/>
        <w:rPr>
          <w:rFonts w:ascii="Bookman Old Style" w:hAnsi="Bookman Old Style"/>
          <w:sz w:val="22"/>
          <w:szCs w:val="22"/>
        </w:rPr>
      </w:pPr>
      <w:r w:rsidRPr="00FB4466">
        <w:rPr>
          <w:rFonts w:ascii="Bookman Old Style" w:hAnsi="Bookman Old Style"/>
          <w:sz w:val="22"/>
          <w:szCs w:val="22"/>
        </w:rPr>
        <w:t xml:space="preserve">La norma non introduce ancora una compartecipazione comunale, ma avvia una fase tecnica propedeutica. Risulta essenziale che i lavori considerino la stabilità e la prevedibilità delle entrate, la territorializzazione del gettito, la perequazione, la neutralità finanziaria per ciascun comparto e la tutela dei </w:t>
      </w:r>
      <w:r w:rsidR="00DC111B">
        <w:rPr>
          <w:rFonts w:ascii="Bookman Old Style" w:hAnsi="Bookman Old Style"/>
          <w:sz w:val="22"/>
          <w:szCs w:val="22"/>
        </w:rPr>
        <w:t>C</w:t>
      </w:r>
      <w:r w:rsidRPr="00FB4466">
        <w:rPr>
          <w:rFonts w:ascii="Bookman Old Style" w:hAnsi="Bookman Old Style"/>
          <w:sz w:val="22"/>
          <w:szCs w:val="22"/>
        </w:rPr>
        <w:t>omuni a minore capacità fiscale.</w:t>
      </w:r>
    </w:p>
    <w:p w14:paraId="55467079" w14:textId="77777777" w:rsidR="001C2914" w:rsidRPr="00FB4466" w:rsidRDefault="001C2914" w:rsidP="001C2914">
      <w:pPr>
        <w:jc w:val="both"/>
        <w:rPr>
          <w:rFonts w:ascii="Bookman Old Style" w:hAnsi="Bookman Old Style"/>
          <w:sz w:val="22"/>
          <w:szCs w:val="22"/>
        </w:rPr>
      </w:pPr>
    </w:p>
    <w:p w14:paraId="448D8921" w14:textId="7C404D42" w:rsidR="001C2914" w:rsidRDefault="001C2914" w:rsidP="007B3DDD">
      <w:pPr>
        <w:pStyle w:val="Titolo2"/>
        <w:rPr>
          <w:rFonts w:ascii="Bookman Old Style" w:hAnsi="Bookman Old Style"/>
          <w:b/>
          <w:bCs/>
          <w:sz w:val="22"/>
          <w:szCs w:val="22"/>
        </w:rPr>
      </w:pPr>
      <w:bookmarkStart w:id="26" w:name="_Toc240375133"/>
      <w:r w:rsidRPr="007B3DDD">
        <w:rPr>
          <w:rFonts w:ascii="Bookman Old Style" w:hAnsi="Bookman Old Style"/>
          <w:b/>
          <w:bCs/>
          <w:sz w:val="22"/>
          <w:szCs w:val="22"/>
        </w:rPr>
        <w:t>Fiscalizzazione trasferimenti alle Regioni</w:t>
      </w:r>
      <w:bookmarkEnd w:id="26"/>
    </w:p>
    <w:p w14:paraId="41416CBA" w14:textId="77777777" w:rsidR="008677E7" w:rsidRPr="008677E7" w:rsidRDefault="008677E7" w:rsidP="008677E7"/>
    <w:p w14:paraId="51D0DBF2" w14:textId="77777777" w:rsidR="00FB4466" w:rsidRPr="00D313FE" w:rsidRDefault="00FB4466" w:rsidP="00B74F46">
      <w:pPr>
        <w:pStyle w:val="Titolo2"/>
        <w:rPr>
          <w:rFonts w:ascii="Bookman Old Style" w:hAnsi="Bookman Old Style"/>
          <w:b/>
          <w:bCs/>
          <w:sz w:val="22"/>
          <w:szCs w:val="22"/>
        </w:rPr>
      </w:pPr>
      <w:bookmarkStart w:id="27" w:name="_Toc240375134"/>
      <w:r w:rsidRPr="00D313FE">
        <w:rPr>
          <w:rFonts w:ascii="Bookman Old Style" w:hAnsi="Bookman Old Style"/>
          <w:b/>
          <w:bCs/>
          <w:sz w:val="22"/>
          <w:szCs w:val="22"/>
        </w:rPr>
        <w:t>Articolo 33 – Fiscalizzazione e perequazione regionale</w:t>
      </w:r>
      <w:bookmarkEnd w:id="27"/>
    </w:p>
    <w:p w14:paraId="5492BA64" w14:textId="77777777" w:rsidR="00FB4466" w:rsidRPr="00FB4466" w:rsidRDefault="00FB4466" w:rsidP="00FB4466">
      <w:pPr>
        <w:jc w:val="both"/>
        <w:rPr>
          <w:rFonts w:ascii="Bookman Old Style" w:hAnsi="Bookman Old Style"/>
          <w:sz w:val="22"/>
          <w:szCs w:val="22"/>
        </w:rPr>
      </w:pPr>
      <w:r w:rsidRPr="00FB4466">
        <w:rPr>
          <w:rFonts w:ascii="Bookman Old Style" w:hAnsi="Bookman Old Style"/>
          <w:sz w:val="22"/>
          <w:szCs w:val="22"/>
        </w:rPr>
        <w:t>Dal 2027 alle regioni a statuto ordinario è attribuita una compartecipazione al gettito IRPEF. L’aliquota sarà determinata con decreto del Presidente del Consiglio dei ministri entro il 31 dicembre 2026, d’intesa con la Conferenza unificata.</w:t>
      </w:r>
    </w:p>
    <w:p w14:paraId="1C056240" w14:textId="6C5D44BC" w:rsidR="00FB4466" w:rsidRPr="00FB4466" w:rsidRDefault="00FB4466" w:rsidP="00FB4466">
      <w:pPr>
        <w:jc w:val="both"/>
        <w:rPr>
          <w:rFonts w:ascii="Bookman Old Style" w:hAnsi="Bookman Old Style"/>
          <w:sz w:val="22"/>
          <w:szCs w:val="22"/>
        </w:rPr>
      </w:pPr>
      <w:r w:rsidRPr="00FB4466">
        <w:rPr>
          <w:rFonts w:ascii="Bookman Old Style" w:hAnsi="Bookman Old Style"/>
          <w:sz w:val="22"/>
          <w:szCs w:val="22"/>
        </w:rPr>
        <w:t xml:space="preserve">La compartecipazione sostituisce trasferimenti statali per </w:t>
      </w:r>
      <w:r w:rsidR="00BD69C8">
        <w:rPr>
          <w:rFonts w:ascii="Bookman Old Style" w:hAnsi="Bookman Old Style"/>
          <w:sz w:val="22"/>
          <w:szCs w:val="22"/>
        </w:rPr>
        <w:t xml:space="preserve">circa 5,7 mld di euro </w:t>
      </w:r>
      <w:r w:rsidRPr="00FB4466">
        <w:rPr>
          <w:rFonts w:ascii="Bookman Old Style" w:hAnsi="Bookman Old Style"/>
          <w:sz w:val="22"/>
          <w:szCs w:val="22"/>
        </w:rPr>
        <w:t>complessivi importi</w:t>
      </w:r>
      <w:r w:rsidR="00BD69C8">
        <w:rPr>
          <w:rFonts w:ascii="Bookman Old Style" w:hAnsi="Bookman Old Style"/>
          <w:sz w:val="22"/>
          <w:szCs w:val="22"/>
        </w:rPr>
        <w:t>,</w:t>
      </w:r>
      <w:r w:rsidRPr="00FB4466">
        <w:rPr>
          <w:rFonts w:ascii="Bookman Old Style" w:hAnsi="Bookman Old Style"/>
          <w:sz w:val="22"/>
          <w:szCs w:val="22"/>
        </w:rPr>
        <w:t xml:space="preserve"> riferiti alla quota non sanitaria dell’IVA, ai libri di testo, al welfare dello studente e soprattutto al fondo per il trasporto pubblico locale</w:t>
      </w:r>
      <w:r w:rsidR="00345AA3">
        <w:rPr>
          <w:rFonts w:ascii="Bookman Old Style" w:hAnsi="Bookman Old Style"/>
          <w:sz w:val="22"/>
          <w:szCs w:val="22"/>
        </w:rPr>
        <w:t>, che vale oltre 5 miliardi di euro annui</w:t>
      </w:r>
      <w:r w:rsidRPr="00FB4466">
        <w:rPr>
          <w:rFonts w:ascii="Bookman Old Style" w:hAnsi="Bookman Old Style"/>
          <w:sz w:val="22"/>
          <w:szCs w:val="22"/>
        </w:rPr>
        <w:t>. È istituito un fondo destinato a regolare gli scostamenti tra trasferimenti soppressi e gettito della compartecipazione.</w:t>
      </w:r>
    </w:p>
    <w:p w14:paraId="1596F583" w14:textId="77777777" w:rsidR="00FB4466" w:rsidRPr="00FB4466" w:rsidRDefault="00FB4466" w:rsidP="00FB4466">
      <w:pPr>
        <w:jc w:val="both"/>
        <w:rPr>
          <w:rFonts w:ascii="Bookman Old Style" w:hAnsi="Bookman Old Style"/>
          <w:sz w:val="22"/>
          <w:szCs w:val="22"/>
        </w:rPr>
      </w:pPr>
      <w:r w:rsidRPr="00FB4466">
        <w:rPr>
          <w:rFonts w:ascii="Bookman Old Style" w:hAnsi="Bookman Old Style"/>
          <w:sz w:val="22"/>
          <w:szCs w:val="22"/>
        </w:rPr>
        <w:t>Nella fase transitoria il fondo deve assicurare prioritariamente risorse pari ai trasferimenti soppressi e, per la parte residua, forme di perequazione. Eventuali eccedenze di gettito rispetto alla dotazione del fondo restano acquisite al bilancio dello Stato.</w:t>
      </w:r>
    </w:p>
    <w:p w14:paraId="5B556846" w14:textId="2A1BDB2D" w:rsidR="00FB4466" w:rsidRPr="00FB4466" w:rsidRDefault="00FB4466" w:rsidP="00FB4466">
      <w:pPr>
        <w:jc w:val="both"/>
        <w:rPr>
          <w:rFonts w:ascii="Bookman Old Style" w:hAnsi="Bookman Old Style"/>
          <w:sz w:val="22"/>
          <w:szCs w:val="22"/>
        </w:rPr>
      </w:pPr>
      <w:r w:rsidRPr="00FB4466">
        <w:rPr>
          <w:rFonts w:ascii="Bookman Old Style" w:hAnsi="Bookman Old Style"/>
          <w:sz w:val="22"/>
          <w:szCs w:val="22"/>
        </w:rPr>
        <w:t xml:space="preserve">Le </w:t>
      </w:r>
      <w:r w:rsidR="003411E2">
        <w:rPr>
          <w:rFonts w:ascii="Bookman Old Style" w:hAnsi="Bookman Old Style"/>
          <w:sz w:val="22"/>
          <w:szCs w:val="22"/>
        </w:rPr>
        <w:t>R</w:t>
      </w:r>
      <w:r w:rsidRPr="00FB4466">
        <w:rPr>
          <w:rFonts w:ascii="Bookman Old Style" w:hAnsi="Bookman Old Style"/>
          <w:sz w:val="22"/>
          <w:szCs w:val="22"/>
        </w:rPr>
        <w:t xml:space="preserve">egioni devono continuare ad assicurare il concorso all’esercizio delle funzioni fondamentali di </w:t>
      </w:r>
      <w:r w:rsidR="003411E2">
        <w:rPr>
          <w:rFonts w:ascii="Bookman Old Style" w:hAnsi="Bookman Old Style"/>
          <w:sz w:val="22"/>
          <w:szCs w:val="22"/>
        </w:rPr>
        <w:t>C</w:t>
      </w:r>
      <w:r w:rsidRPr="00FB4466">
        <w:rPr>
          <w:rFonts w:ascii="Bookman Old Style" w:hAnsi="Bookman Old Style"/>
          <w:sz w:val="22"/>
          <w:szCs w:val="22"/>
        </w:rPr>
        <w:t xml:space="preserve">omuni, </w:t>
      </w:r>
      <w:r w:rsidR="00F13188">
        <w:rPr>
          <w:rFonts w:ascii="Bookman Old Style" w:hAnsi="Bookman Old Style"/>
          <w:sz w:val="22"/>
          <w:szCs w:val="22"/>
        </w:rPr>
        <w:t>P</w:t>
      </w:r>
      <w:r w:rsidR="00F13188" w:rsidRPr="00FB4466">
        <w:rPr>
          <w:rFonts w:ascii="Bookman Old Style" w:hAnsi="Bookman Old Style"/>
          <w:sz w:val="22"/>
          <w:szCs w:val="22"/>
        </w:rPr>
        <w:t xml:space="preserve">rovince </w:t>
      </w:r>
      <w:r w:rsidRPr="00FB4466">
        <w:rPr>
          <w:rFonts w:ascii="Bookman Old Style" w:hAnsi="Bookman Old Style"/>
          <w:sz w:val="22"/>
          <w:szCs w:val="22"/>
        </w:rPr>
        <w:t xml:space="preserve">e </w:t>
      </w:r>
      <w:r w:rsidR="00C64838">
        <w:rPr>
          <w:rFonts w:ascii="Bookman Old Style" w:hAnsi="Bookman Old Style"/>
          <w:sz w:val="22"/>
          <w:szCs w:val="22"/>
        </w:rPr>
        <w:t>C</w:t>
      </w:r>
      <w:r w:rsidR="00C64838" w:rsidRPr="00FB4466">
        <w:rPr>
          <w:rFonts w:ascii="Bookman Old Style" w:hAnsi="Bookman Old Style"/>
          <w:sz w:val="22"/>
          <w:szCs w:val="22"/>
        </w:rPr>
        <w:t xml:space="preserve">ittà </w:t>
      </w:r>
      <w:r w:rsidRPr="00FB4466">
        <w:rPr>
          <w:rFonts w:ascii="Bookman Old Style" w:hAnsi="Bookman Old Style"/>
          <w:sz w:val="22"/>
          <w:szCs w:val="22"/>
        </w:rPr>
        <w:t xml:space="preserve">metropolitane negli ambiti interessati dalla fiscalizzazione. Tale previsione </w:t>
      </w:r>
      <w:r w:rsidR="00E27E77">
        <w:rPr>
          <w:rFonts w:ascii="Bookman Old Style" w:hAnsi="Bookman Old Style"/>
          <w:sz w:val="22"/>
          <w:szCs w:val="22"/>
        </w:rPr>
        <w:t xml:space="preserve">rileva </w:t>
      </w:r>
      <w:r w:rsidRPr="00FB4466">
        <w:rPr>
          <w:rFonts w:ascii="Bookman Old Style" w:hAnsi="Bookman Old Style"/>
          <w:sz w:val="22"/>
          <w:szCs w:val="22"/>
        </w:rPr>
        <w:t>perché alcuni trasferimenti fiscalizzati finanziano funzioni esercitate dagli enti locali</w:t>
      </w:r>
      <w:r w:rsidR="000D2691">
        <w:rPr>
          <w:rFonts w:ascii="Bookman Old Style" w:hAnsi="Bookman Old Style"/>
          <w:sz w:val="22"/>
          <w:szCs w:val="22"/>
        </w:rPr>
        <w:t xml:space="preserve"> (in particolare il TPL per circa 2,6 mld. di euro)</w:t>
      </w:r>
      <w:r w:rsidRPr="00FB4466">
        <w:rPr>
          <w:rFonts w:ascii="Bookman Old Style" w:hAnsi="Bookman Old Style"/>
          <w:sz w:val="22"/>
          <w:szCs w:val="22"/>
        </w:rPr>
        <w:t>.</w:t>
      </w:r>
      <w:r w:rsidR="000D2691">
        <w:rPr>
          <w:rFonts w:ascii="Bookman Old Style" w:hAnsi="Bookman Old Style"/>
          <w:sz w:val="22"/>
          <w:szCs w:val="22"/>
        </w:rPr>
        <w:t xml:space="preserve"> </w:t>
      </w:r>
      <w:r w:rsidR="00B530CC">
        <w:rPr>
          <w:rFonts w:ascii="Bookman Old Style" w:hAnsi="Bookman Old Style"/>
          <w:sz w:val="22"/>
          <w:szCs w:val="22"/>
        </w:rPr>
        <w:t xml:space="preserve">La prescrizione non appare tuttavia sufficiente ad evitare che i fondi TPL </w:t>
      </w:r>
      <w:r w:rsidR="00601528">
        <w:rPr>
          <w:rFonts w:ascii="Bookman Old Style" w:hAnsi="Bookman Old Style"/>
          <w:sz w:val="22"/>
          <w:szCs w:val="22"/>
        </w:rPr>
        <w:t>subiscano riduzioni in relazione alle condizioni finanziarie generali di ciascuna regione</w:t>
      </w:r>
      <w:r w:rsidR="000145E4">
        <w:rPr>
          <w:rFonts w:ascii="Bookman Old Style" w:hAnsi="Bookman Old Style"/>
          <w:sz w:val="22"/>
          <w:szCs w:val="22"/>
        </w:rPr>
        <w:t>,</w:t>
      </w:r>
      <w:r w:rsidR="00601528">
        <w:rPr>
          <w:rFonts w:ascii="Bookman Old Style" w:hAnsi="Bookman Old Style"/>
          <w:sz w:val="22"/>
          <w:szCs w:val="22"/>
        </w:rPr>
        <w:t xml:space="preserve"> in quanto </w:t>
      </w:r>
      <w:r w:rsidR="00C30704">
        <w:rPr>
          <w:rFonts w:ascii="Bookman Old Style" w:hAnsi="Bookman Old Style"/>
          <w:sz w:val="22"/>
          <w:szCs w:val="22"/>
        </w:rPr>
        <w:t>la compartecipazione fa venir meno ogni formale vincolo di destinazione delle somme fiscalizzate</w:t>
      </w:r>
      <w:r w:rsidR="000145E4">
        <w:rPr>
          <w:rFonts w:ascii="Bookman Old Style" w:hAnsi="Bookman Old Style"/>
          <w:sz w:val="22"/>
          <w:szCs w:val="22"/>
        </w:rPr>
        <w:t xml:space="preserve">, </w:t>
      </w:r>
      <w:r w:rsidR="00240718">
        <w:rPr>
          <w:rFonts w:ascii="Bookman Old Style" w:hAnsi="Bookman Old Style"/>
          <w:sz w:val="22"/>
          <w:szCs w:val="22"/>
        </w:rPr>
        <w:t xml:space="preserve">né a contrastare eventuali valutazioni difformi circa il ridimensionamento </w:t>
      </w:r>
      <w:r w:rsidR="002340FA">
        <w:rPr>
          <w:rFonts w:ascii="Bookman Old Style" w:hAnsi="Bookman Old Style"/>
          <w:sz w:val="22"/>
          <w:szCs w:val="22"/>
        </w:rPr>
        <w:t>delle quote specificamente destinate al TPL urbano.</w:t>
      </w:r>
    </w:p>
    <w:p w14:paraId="768E1C6B" w14:textId="203248F1" w:rsidR="00FB4466" w:rsidRPr="00FB4466" w:rsidRDefault="00FB4466" w:rsidP="00FB4466">
      <w:pPr>
        <w:jc w:val="both"/>
        <w:rPr>
          <w:rFonts w:ascii="Bookman Old Style" w:hAnsi="Bookman Old Style"/>
          <w:sz w:val="22"/>
          <w:szCs w:val="22"/>
        </w:rPr>
      </w:pPr>
      <w:r w:rsidRPr="00FB4466">
        <w:rPr>
          <w:rFonts w:ascii="Bookman Old Style" w:hAnsi="Bookman Old Style"/>
          <w:sz w:val="22"/>
          <w:szCs w:val="22"/>
        </w:rPr>
        <w:t>Dal 2028</w:t>
      </w:r>
      <w:r w:rsidR="002340FA">
        <w:rPr>
          <w:rFonts w:ascii="Bookman Old Style" w:hAnsi="Bookman Old Style"/>
          <w:sz w:val="22"/>
          <w:szCs w:val="22"/>
        </w:rPr>
        <w:t>, inoltre,</w:t>
      </w:r>
      <w:r w:rsidRPr="00FB4466">
        <w:rPr>
          <w:rFonts w:ascii="Bookman Old Style" w:hAnsi="Bookman Old Style"/>
          <w:sz w:val="22"/>
          <w:szCs w:val="22"/>
        </w:rPr>
        <w:t xml:space="preserve"> potranno essere fiscalizzati ulteriori trasferimenti statali, compresi quelli finalizzati all’esercizio di funzioni provinciali e comunali. La loro soppressione sarà disposta con DPCM, previo coinvolgimento delle sedi tecniche e istituzionali previste.</w:t>
      </w:r>
      <w:r w:rsidR="00A47DDD">
        <w:rPr>
          <w:rFonts w:ascii="Bookman Old Style" w:hAnsi="Bookman Old Style"/>
          <w:sz w:val="22"/>
          <w:szCs w:val="22"/>
        </w:rPr>
        <w:t xml:space="preserve"> L’eventuale attuazione di questa previsione amplierebbe in modo insostenibile </w:t>
      </w:r>
      <w:r w:rsidR="004C3DB0">
        <w:rPr>
          <w:rFonts w:ascii="Bookman Old Style" w:hAnsi="Bookman Old Style"/>
          <w:sz w:val="22"/>
          <w:szCs w:val="22"/>
        </w:rPr>
        <w:t xml:space="preserve">i rischi per </w:t>
      </w:r>
      <w:r w:rsidR="004C3DB0">
        <w:rPr>
          <w:rFonts w:ascii="Bookman Old Style" w:hAnsi="Bookman Old Style"/>
          <w:sz w:val="22"/>
          <w:szCs w:val="22"/>
        </w:rPr>
        <w:lastRenderedPageBreak/>
        <w:t xml:space="preserve">il finanziamento di funzioni fondamentali comunali, in particolare nel campo dei servizi sociali, che sarebbero </w:t>
      </w:r>
      <w:r w:rsidR="006E420F">
        <w:rPr>
          <w:rFonts w:ascii="Bookman Old Style" w:hAnsi="Bookman Old Style"/>
          <w:sz w:val="22"/>
          <w:szCs w:val="22"/>
        </w:rPr>
        <w:t xml:space="preserve">coinvolti </w:t>
      </w:r>
      <w:r w:rsidR="004C3DB0">
        <w:rPr>
          <w:rFonts w:ascii="Bookman Old Style" w:hAnsi="Bookman Old Style"/>
          <w:sz w:val="22"/>
          <w:szCs w:val="22"/>
        </w:rPr>
        <w:t>per ben 2,3 mld. di euro.</w:t>
      </w:r>
    </w:p>
    <w:p w14:paraId="44E530A7" w14:textId="1FC88B75" w:rsidR="00FB4466" w:rsidRPr="00FB4466" w:rsidRDefault="00FB4466" w:rsidP="00FB4466">
      <w:pPr>
        <w:jc w:val="both"/>
        <w:rPr>
          <w:rFonts w:ascii="Bookman Old Style" w:hAnsi="Bookman Old Style"/>
          <w:sz w:val="22"/>
          <w:szCs w:val="22"/>
        </w:rPr>
      </w:pPr>
      <w:r w:rsidRPr="00FB4466">
        <w:rPr>
          <w:rFonts w:ascii="Bookman Old Style" w:hAnsi="Bookman Old Style"/>
          <w:sz w:val="22"/>
          <w:szCs w:val="22"/>
        </w:rPr>
        <w:t xml:space="preserve">L’articolo </w:t>
      </w:r>
      <w:r w:rsidR="006E420F">
        <w:rPr>
          <w:rFonts w:ascii="Bookman Old Style" w:hAnsi="Bookman Old Style"/>
          <w:sz w:val="22"/>
          <w:szCs w:val="22"/>
        </w:rPr>
        <w:t xml:space="preserve">tenta inoltre di avviare l’attuazione del </w:t>
      </w:r>
      <w:r w:rsidRPr="00FB4466">
        <w:rPr>
          <w:rFonts w:ascii="Bookman Old Style" w:hAnsi="Bookman Old Style"/>
          <w:sz w:val="22"/>
          <w:szCs w:val="22"/>
        </w:rPr>
        <w:t>sistema perequativo regionale</w:t>
      </w:r>
      <w:r w:rsidR="006E420F">
        <w:rPr>
          <w:rFonts w:ascii="Bookman Old Style" w:hAnsi="Bookman Old Style"/>
          <w:sz w:val="22"/>
          <w:szCs w:val="22"/>
        </w:rPr>
        <w:t>, ferma da un quindicennio</w:t>
      </w:r>
      <w:r w:rsidRPr="00FB4466">
        <w:rPr>
          <w:rFonts w:ascii="Bookman Old Style" w:hAnsi="Bookman Old Style"/>
          <w:sz w:val="22"/>
          <w:szCs w:val="22"/>
        </w:rPr>
        <w:t>. Dopo tre anni di funzionamento transitorio, le risorse confluiranno nei fondi perequativi a regime, con graduale convergenza dalla spesa storica ai costi standard e, per le funzioni non essenziali, alle capacità fiscali.</w:t>
      </w:r>
    </w:p>
    <w:p w14:paraId="27885335" w14:textId="6B9ABA61" w:rsidR="00FB4466" w:rsidRDefault="00FB4466" w:rsidP="00FB4466">
      <w:pPr>
        <w:jc w:val="both"/>
        <w:rPr>
          <w:rFonts w:ascii="Bookman Old Style" w:hAnsi="Bookman Old Style"/>
          <w:sz w:val="22"/>
          <w:szCs w:val="22"/>
        </w:rPr>
      </w:pPr>
      <w:r w:rsidRPr="00FB4466">
        <w:rPr>
          <w:rFonts w:ascii="Bookman Old Style" w:hAnsi="Bookman Old Style"/>
          <w:sz w:val="22"/>
          <w:szCs w:val="22"/>
        </w:rPr>
        <w:t xml:space="preserve">Per gli enti locali il principale profilo da presidiare riguarda la garanzia che la fiscalizzazione dei trasferimenti regionali o statali non determini discontinuità nel </w:t>
      </w:r>
      <w:r w:rsidR="00A60132">
        <w:rPr>
          <w:rFonts w:ascii="Bookman Old Style" w:hAnsi="Bookman Old Style"/>
          <w:sz w:val="22"/>
          <w:szCs w:val="22"/>
        </w:rPr>
        <w:t xml:space="preserve">livello e nello </w:t>
      </w:r>
      <w:r w:rsidR="004729AD">
        <w:rPr>
          <w:rFonts w:ascii="Bookman Old Style" w:hAnsi="Bookman Old Style"/>
          <w:sz w:val="22"/>
          <w:szCs w:val="22"/>
        </w:rPr>
        <w:t xml:space="preserve">sviluppo dei </w:t>
      </w:r>
      <w:r w:rsidR="004729AD" w:rsidRPr="00FB4466">
        <w:rPr>
          <w:rFonts w:ascii="Bookman Old Style" w:hAnsi="Bookman Old Style"/>
          <w:sz w:val="22"/>
          <w:szCs w:val="22"/>
        </w:rPr>
        <w:t>finanziament</w:t>
      </w:r>
      <w:r w:rsidR="004729AD">
        <w:rPr>
          <w:rFonts w:ascii="Bookman Old Style" w:hAnsi="Bookman Old Style"/>
          <w:sz w:val="22"/>
          <w:szCs w:val="22"/>
        </w:rPr>
        <w:t>i</w:t>
      </w:r>
      <w:r w:rsidR="004729AD" w:rsidRPr="00FB4466">
        <w:rPr>
          <w:rFonts w:ascii="Bookman Old Style" w:hAnsi="Bookman Old Style"/>
          <w:sz w:val="22"/>
          <w:szCs w:val="22"/>
        </w:rPr>
        <w:t xml:space="preserve"> </w:t>
      </w:r>
      <w:r w:rsidRPr="00FB4466">
        <w:rPr>
          <w:rFonts w:ascii="Bookman Old Style" w:hAnsi="Bookman Old Style"/>
          <w:sz w:val="22"/>
          <w:szCs w:val="22"/>
        </w:rPr>
        <w:t>delle funzioni comunali, provinciali e metropolitane.</w:t>
      </w:r>
    </w:p>
    <w:p w14:paraId="39365ADB" w14:textId="77777777" w:rsidR="0071634A" w:rsidRPr="00FB4466" w:rsidRDefault="0071634A" w:rsidP="00FB4466">
      <w:pPr>
        <w:jc w:val="both"/>
        <w:rPr>
          <w:rFonts w:ascii="Bookman Old Style" w:hAnsi="Bookman Old Style"/>
          <w:sz w:val="22"/>
          <w:szCs w:val="22"/>
        </w:rPr>
      </w:pPr>
    </w:p>
    <w:p w14:paraId="33ECD83E" w14:textId="77777777" w:rsidR="00FB4466" w:rsidRPr="00D313FE" w:rsidRDefault="00FB4466" w:rsidP="00B74F46">
      <w:pPr>
        <w:pStyle w:val="Titolo2"/>
        <w:rPr>
          <w:rFonts w:ascii="Bookman Old Style" w:hAnsi="Bookman Old Style"/>
          <w:b/>
          <w:bCs/>
          <w:sz w:val="22"/>
          <w:szCs w:val="22"/>
        </w:rPr>
      </w:pPr>
      <w:bookmarkStart w:id="28" w:name="_Toc240375135"/>
      <w:r w:rsidRPr="00D313FE">
        <w:rPr>
          <w:rFonts w:ascii="Bookman Old Style" w:hAnsi="Bookman Old Style"/>
          <w:b/>
          <w:bCs/>
          <w:sz w:val="22"/>
          <w:szCs w:val="22"/>
        </w:rPr>
        <w:t>Articolo 34 – Fondo per le regioni a statuto ordinario</w:t>
      </w:r>
      <w:bookmarkEnd w:id="28"/>
    </w:p>
    <w:p w14:paraId="049DA571" w14:textId="714258E5" w:rsidR="00FB4466" w:rsidRDefault="00FB4466" w:rsidP="00FB4466">
      <w:pPr>
        <w:jc w:val="both"/>
        <w:rPr>
          <w:rFonts w:ascii="Bookman Old Style" w:hAnsi="Bookman Old Style"/>
          <w:sz w:val="22"/>
          <w:szCs w:val="22"/>
        </w:rPr>
      </w:pPr>
      <w:r w:rsidRPr="00FB4466">
        <w:rPr>
          <w:rFonts w:ascii="Bookman Old Style" w:hAnsi="Bookman Old Style"/>
          <w:sz w:val="22"/>
          <w:szCs w:val="22"/>
        </w:rPr>
        <w:t>Per il 2026 viene istituito un fondo di 80 milioni di euro destinato alle regioni a statuto ordinario, finalizzato a concorrere al recupero delle riduzioni operate dal decreto-legge n. 78 del 2010.</w:t>
      </w:r>
      <w:r w:rsidR="00A54683">
        <w:rPr>
          <w:rFonts w:ascii="Bookman Old Style" w:hAnsi="Bookman Old Style"/>
          <w:sz w:val="22"/>
          <w:szCs w:val="22"/>
        </w:rPr>
        <w:t xml:space="preserve"> </w:t>
      </w:r>
      <w:r w:rsidRPr="00FB4466">
        <w:rPr>
          <w:rFonts w:ascii="Bookman Old Style" w:hAnsi="Bookman Old Style"/>
          <w:sz w:val="22"/>
          <w:szCs w:val="22"/>
        </w:rPr>
        <w:t>Il riparto è effettuato con decreto ministeriale, previa intesa in Conferenza Stato-regioni e sulla base di una proposta formulata dalle regioni in sede di autocoordinamento.</w:t>
      </w:r>
    </w:p>
    <w:p w14:paraId="4EB9359D" w14:textId="77777777" w:rsidR="009E2BB5" w:rsidRPr="00FB4466" w:rsidRDefault="009E2BB5" w:rsidP="00FB4466">
      <w:pPr>
        <w:jc w:val="both"/>
        <w:rPr>
          <w:rFonts w:ascii="Bookman Old Style" w:hAnsi="Bookman Old Style"/>
          <w:sz w:val="22"/>
          <w:szCs w:val="22"/>
        </w:rPr>
      </w:pPr>
    </w:p>
    <w:p w14:paraId="478947C8" w14:textId="77777777" w:rsidR="00AC30B8" w:rsidRPr="00DF07F0" w:rsidRDefault="00AC30B8" w:rsidP="00AC30B8">
      <w:pPr>
        <w:pStyle w:val="Titolo2"/>
        <w:rPr>
          <w:rFonts w:ascii="Bookman Old Style" w:hAnsi="Bookman Old Style"/>
          <w:b/>
          <w:bCs/>
          <w:sz w:val="22"/>
          <w:szCs w:val="22"/>
        </w:rPr>
      </w:pPr>
      <w:bookmarkStart w:id="29" w:name="_Toc240375136"/>
      <w:r w:rsidRPr="00DF07F0">
        <w:rPr>
          <w:rFonts w:ascii="Bookman Old Style" w:hAnsi="Bookman Old Style"/>
          <w:b/>
          <w:bCs/>
          <w:sz w:val="22"/>
          <w:szCs w:val="22"/>
        </w:rPr>
        <w:t>Tributi regionali</w:t>
      </w:r>
      <w:bookmarkEnd w:id="29"/>
    </w:p>
    <w:p w14:paraId="4814A428" w14:textId="77777777" w:rsidR="009E2BB5" w:rsidRDefault="009E2BB5" w:rsidP="00B74F46">
      <w:pPr>
        <w:pStyle w:val="Titolo2"/>
        <w:rPr>
          <w:rFonts w:ascii="Bookman Old Style" w:hAnsi="Bookman Old Style"/>
          <w:b/>
          <w:bCs/>
          <w:sz w:val="22"/>
          <w:szCs w:val="22"/>
        </w:rPr>
      </w:pPr>
      <w:bookmarkStart w:id="30" w:name="_Toc240375137"/>
    </w:p>
    <w:p w14:paraId="7893A4D6" w14:textId="4CCF4EF3" w:rsidR="00AC30B8" w:rsidRPr="00D313FE" w:rsidRDefault="00AC30B8" w:rsidP="00B74F46">
      <w:pPr>
        <w:pStyle w:val="Titolo2"/>
        <w:rPr>
          <w:rFonts w:ascii="Bookman Old Style" w:hAnsi="Bookman Old Style"/>
          <w:b/>
          <w:bCs/>
          <w:sz w:val="22"/>
          <w:szCs w:val="22"/>
        </w:rPr>
      </w:pPr>
      <w:r w:rsidRPr="00D313FE">
        <w:rPr>
          <w:rFonts w:ascii="Bookman Old Style" w:hAnsi="Bookman Old Style"/>
          <w:b/>
          <w:bCs/>
          <w:sz w:val="22"/>
          <w:szCs w:val="22"/>
        </w:rPr>
        <w:t>Articolo 13 – Maggiore autonomia impositiva sulla tassa automobilistica</w:t>
      </w:r>
      <w:bookmarkEnd w:id="30"/>
    </w:p>
    <w:p w14:paraId="53279622" w14:textId="77777777" w:rsidR="00AC30B8" w:rsidRPr="00FB4466" w:rsidRDefault="00AC30B8" w:rsidP="00AC30B8">
      <w:pPr>
        <w:jc w:val="both"/>
        <w:rPr>
          <w:rFonts w:ascii="Bookman Old Style" w:hAnsi="Bookman Old Style"/>
          <w:sz w:val="22"/>
          <w:szCs w:val="22"/>
        </w:rPr>
      </w:pPr>
      <w:r w:rsidRPr="00FB4466">
        <w:rPr>
          <w:rFonts w:ascii="Bookman Old Style" w:hAnsi="Bookman Old Style"/>
          <w:sz w:val="22"/>
          <w:szCs w:val="22"/>
        </w:rPr>
        <w:t xml:space="preserve">La tassa automobilistica </w:t>
      </w:r>
      <w:r>
        <w:rPr>
          <w:rFonts w:ascii="Bookman Old Style" w:hAnsi="Bookman Old Style"/>
          <w:sz w:val="22"/>
          <w:szCs w:val="22"/>
        </w:rPr>
        <w:t xml:space="preserve">regionale </w:t>
      </w:r>
      <w:r w:rsidRPr="00FB4466">
        <w:rPr>
          <w:rFonts w:ascii="Bookman Old Style" w:hAnsi="Bookman Old Style"/>
          <w:sz w:val="22"/>
          <w:szCs w:val="22"/>
        </w:rPr>
        <w:t>viene qualificata come tributo proprio derivato dotato di maggiore autonomia impositiva. La formulazione rafforza la potestà normativa regionale, nel rispetto dei limiti derivanti dalla legislazione statale.</w:t>
      </w:r>
    </w:p>
    <w:p w14:paraId="30B781E0" w14:textId="77777777" w:rsidR="00AC30B8" w:rsidRPr="00FB4466" w:rsidRDefault="00AC30B8" w:rsidP="00AC30B8">
      <w:pPr>
        <w:jc w:val="both"/>
        <w:rPr>
          <w:rFonts w:ascii="Bookman Old Style" w:hAnsi="Bookman Old Style"/>
          <w:sz w:val="22"/>
          <w:szCs w:val="22"/>
        </w:rPr>
      </w:pPr>
      <w:r w:rsidRPr="00FB4466">
        <w:rPr>
          <w:rFonts w:ascii="Bookman Old Style" w:hAnsi="Bookman Old Style"/>
          <w:sz w:val="22"/>
          <w:szCs w:val="22"/>
        </w:rPr>
        <w:t>Le esenzioni regionali introdotte dal 1° gennaio 2027 non si estendono automaticamente all’addizionale erariale, per la quale continuano a valere esclusivamente le esenzioni stabilite dalla legge statale. La disposizione separa quindi il trattamento del tributo regionale da quello dell’addizionale statale.</w:t>
      </w:r>
    </w:p>
    <w:p w14:paraId="0AFE3AF5" w14:textId="77777777" w:rsidR="00AC30B8" w:rsidRPr="00D313FE" w:rsidRDefault="00AC30B8" w:rsidP="00B74F46">
      <w:pPr>
        <w:pStyle w:val="Titolo2"/>
        <w:rPr>
          <w:rFonts w:ascii="Bookman Old Style" w:hAnsi="Bookman Old Style"/>
          <w:b/>
          <w:bCs/>
          <w:sz w:val="22"/>
          <w:szCs w:val="22"/>
        </w:rPr>
      </w:pPr>
      <w:bookmarkStart w:id="31" w:name="_Toc240375138"/>
      <w:r w:rsidRPr="00D313FE">
        <w:rPr>
          <w:rFonts w:ascii="Bookman Old Style" w:hAnsi="Bookman Old Style"/>
          <w:b/>
          <w:bCs/>
          <w:sz w:val="22"/>
          <w:szCs w:val="22"/>
        </w:rPr>
        <w:t>Articolo 14 – Territorialità della tassa automobilistica</w:t>
      </w:r>
      <w:bookmarkEnd w:id="31"/>
    </w:p>
    <w:p w14:paraId="56286E8B" w14:textId="77777777" w:rsidR="00AC30B8" w:rsidRPr="00FB4466" w:rsidRDefault="00AC30B8" w:rsidP="00AC30B8">
      <w:pPr>
        <w:jc w:val="both"/>
        <w:rPr>
          <w:rFonts w:ascii="Bookman Old Style" w:hAnsi="Bookman Old Style"/>
          <w:sz w:val="22"/>
          <w:szCs w:val="22"/>
        </w:rPr>
      </w:pPr>
      <w:r w:rsidRPr="00FB4466">
        <w:rPr>
          <w:rFonts w:ascii="Bookman Old Style" w:hAnsi="Bookman Old Style"/>
          <w:sz w:val="22"/>
          <w:szCs w:val="22"/>
        </w:rPr>
        <w:t>La competenza e il gettito sono attribuiti in base alla residenza del soggetto passivo. Per le persone giuridiche rileva, in via ordinaria, la sede legale; qualora la gestione ordinaria principale si svolga in un luogo diverso, assume rilievo quest’ultimo.</w:t>
      </w:r>
    </w:p>
    <w:p w14:paraId="6825A468" w14:textId="77777777" w:rsidR="00AC30B8" w:rsidRPr="00FB4466" w:rsidRDefault="00AC30B8" w:rsidP="00AC30B8">
      <w:pPr>
        <w:jc w:val="both"/>
        <w:rPr>
          <w:rFonts w:ascii="Bookman Old Style" w:hAnsi="Bookman Old Style"/>
          <w:sz w:val="22"/>
          <w:szCs w:val="22"/>
        </w:rPr>
      </w:pPr>
      <w:r w:rsidRPr="00FB4466">
        <w:rPr>
          <w:rFonts w:ascii="Bookman Old Style" w:hAnsi="Bookman Old Style"/>
          <w:sz w:val="22"/>
          <w:szCs w:val="22"/>
        </w:rPr>
        <w:t>Per le persone giuridiche con sede all’estero e più sedi secondarie in Italia, rileva la sede in cui si svolge la gestione ordinaria principale. Le imprese devono aggiornare le comunicazioni al REA entro novanta giorni dall’entrata in vigore della disposizione.</w:t>
      </w:r>
    </w:p>
    <w:p w14:paraId="072128CA" w14:textId="77777777" w:rsidR="00AC30B8" w:rsidRPr="00FB4466" w:rsidRDefault="00AC30B8" w:rsidP="00AC30B8">
      <w:pPr>
        <w:jc w:val="both"/>
        <w:rPr>
          <w:rFonts w:ascii="Bookman Old Style" w:hAnsi="Bookman Old Style"/>
          <w:sz w:val="22"/>
          <w:szCs w:val="22"/>
        </w:rPr>
      </w:pPr>
      <w:r w:rsidRPr="00FB4466">
        <w:rPr>
          <w:rFonts w:ascii="Bookman Old Style" w:hAnsi="Bookman Old Style"/>
          <w:sz w:val="22"/>
          <w:szCs w:val="22"/>
        </w:rPr>
        <w:t>La norma è finalizzata a contrastare fenomeni di localizzazione meramente formale della sede e a ricondurre il gettito al territorio nel quale si svolge effettivamente la gestione dell’impresa. La corretta applicazione richiederà un’efficace interoperabilità tra archivi regionali, camere di commercio e PRA.</w:t>
      </w:r>
    </w:p>
    <w:p w14:paraId="1E267C4A" w14:textId="77777777" w:rsidR="00AC30B8" w:rsidRPr="00D313FE" w:rsidRDefault="00AC30B8" w:rsidP="00B74F46">
      <w:pPr>
        <w:pStyle w:val="Titolo2"/>
        <w:rPr>
          <w:rFonts w:ascii="Bookman Old Style" w:hAnsi="Bookman Old Style"/>
          <w:b/>
          <w:bCs/>
          <w:sz w:val="22"/>
          <w:szCs w:val="22"/>
        </w:rPr>
      </w:pPr>
      <w:bookmarkStart w:id="32" w:name="_Toc240375139"/>
      <w:r w:rsidRPr="00D313FE">
        <w:rPr>
          <w:rFonts w:ascii="Bookman Old Style" w:hAnsi="Bookman Old Style"/>
          <w:b/>
          <w:bCs/>
          <w:sz w:val="22"/>
          <w:szCs w:val="22"/>
        </w:rPr>
        <w:lastRenderedPageBreak/>
        <w:t>Articolo 15 – Semplificazione del pagamento della tassa automobilistica</w:t>
      </w:r>
      <w:bookmarkEnd w:id="32"/>
    </w:p>
    <w:p w14:paraId="457AF17C" w14:textId="77777777" w:rsidR="00AC30B8" w:rsidRPr="00FB4466" w:rsidRDefault="00AC30B8" w:rsidP="00AC30B8">
      <w:pPr>
        <w:jc w:val="both"/>
        <w:rPr>
          <w:rFonts w:ascii="Bookman Old Style" w:hAnsi="Bookman Old Style"/>
          <w:sz w:val="22"/>
          <w:szCs w:val="22"/>
        </w:rPr>
      </w:pPr>
      <w:r w:rsidRPr="00FB4466">
        <w:rPr>
          <w:rFonts w:ascii="Bookman Old Style" w:hAnsi="Bookman Old Style"/>
          <w:sz w:val="22"/>
          <w:szCs w:val="22"/>
        </w:rPr>
        <w:t>Dal 1° gennaio 2028 la tassa automobilistica sarà riferita a un periodo di dodici mesi decorrente dal mese di immatricolazione. Il primo pagamento scade nell’ultimo giorno del mese successivo all’immatricolazione; i pagamenti successivi scadono nell’ultimo giorno del mese corrispondente a quello di immatricolazione.</w:t>
      </w:r>
    </w:p>
    <w:p w14:paraId="188EEA48" w14:textId="77777777" w:rsidR="00AC30B8" w:rsidRPr="00FB4466" w:rsidRDefault="00AC30B8" w:rsidP="00AC30B8">
      <w:pPr>
        <w:jc w:val="both"/>
        <w:rPr>
          <w:rFonts w:ascii="Bookman Old Style" w:hAnsi="Bookman Old Style"/>
          <w:sz w:val="22"/>
          <w:szCs w:val="22"/>
        </w:rPr>
      </w:pPr>
      <w:r w:rsidRPr="00FB4466">
        <w:rPr>
          <w:rFonts w:ascii="Bookman Old Style" w:hAnsi="Bookman Old Style"/>
          <w:sz w:val="22"/>
          <w:szCs w:val="22"/>
        </w:rPr>
        <w:t>La regola supera progressivamente il sistema delle scadenze differenziate per categorie e mesi predeterminati. Le regioni possono consentire il pagamento quadrimestrale per specifiche tipologie di veicoli.</w:t>
      </w:r>
    </w:p>
    <w:p w14:paraId="3DBE8387" w14:textId="77777777" w:rsidR="00AC30B8" w:rsidRPr="00D313FE" w:rsidRDefault="00AC30B8" w:rsidP="00B74F46">
      <w:pPr>
        <w:pStyle w:val="Titolo2"/>
        <w:rPr>
          <w:rFonts w:ascii="Bookman Old Style" w:hAnsi="Bookman Old Style"/>
          <w:b/>
          <w:bCs/>
          <w:sz w:val="22"/>
          <w:szCs w:val="22"/>
        </w:rPr>
      </w:pPr>
      <w:bookmarkStart w:id="33" w:name="_Toc240375140"/>
      <w:r w:rsidRPr="00D313FE">
        <w:rPr>
          <w:rFonts w:ascii="Bookman Old Style" w:hAnsi="Bookman Old Style"/>
          <w:b/>
          <w:bCs/>
          <w:sz w:val="22"/>
          <w:szCs w:val="22"/>
        </w:rPr>
        <w:t>Articolo 16 – Locazione a lungo termine senza conducente</w:t>
      </w:r>
      <w:bookmarkEnd w:id="33"/>
    </w:p>
    <w:p w14:paraId="50C8B4CC" w14:textId="77777777" w:rsidR="00AC30B8" w:rsidRPr="00FB4466" w:rsidRDefault="00AC30B8" w:rsidP="00AC30B8">
      <w:pPr>
        <w:jc w:val="both"/>
        <w:rPr>
          <w:rFonts w:ascii="Bookman Old Style" w:hAnsi="Bookman Old Style"/>
          <w:sz w:val="22"/>
          <w:szCs w:val="22"/>
        </w:rPr>
      </w:pPr>
      <w:r w:rsidRPr="00FB4466">
        <w:rPr>
          <w:rFonts w:ascii="Bookman Old Style" w:hAnsi="Bookman Old Style"/>
          <w:sz w:val="22"/>
          <w:szCs w:val="22"/>
        </w:rPr>
        <w:t>Dal 1° gennaio 2027 il soggetto passivo della tassa automobilistica per i veicoli in locazione a lungo termine senza conducente è individuato nell’utilizzatore risultante dal contratto annotato al PRA, fino alla scadenza del contratto.</w:t>
      </w:r>
    </w:p>
    <w:p w14:paraId="3ECCDF62" w14:textId="77777777" w:rsidR="00AC30B8" w:rsidRPr="00FB4466" w:rsidRDefault="00AC30B8" w:rsidP="00AC30B8">
      <w:pPr>
        <w:jc w:val="both"/>
        <w:rPr>
          <w:rFonts w:ascii="Bookman Old Style" w:hAnsi="Bookman Old Style"/>
          <w:sz w:val="22"/>
          <w:szCs w:val="22"/>
        </w:rPr>
      </w:pPr>
      <w:r w:rsidRPr="00FB4466">
        <w:rPr>
          <w:rFonts w:ascii="Bookman Old Style" w:hAnsi="Bookman Old Style"/>
          <w:sz w:val="22"/>
          <w:szCs w:val="22"/>
        </w:rPr>
        <w:t>La disciplina si applica ai nuovi contratti, alle proroghe e ai rinnovi decorrenti dal 2027 e ai contratti precedenti la cui esecuzione inizi dal medesimo anno. La norma mira a rendere coerente la soggettività passiva con l’effettiva disponibilità del veicolo e a utilizzare l’annotazione al PRA come elemento certo di individuazione.</w:t>
      </w:r>
    </w:p>
    <w:p w14:paraId="54A2944F" w14:textId="77777777" w:rsidR="00AC30B8" w:rsidRPr="00D313FE" w:rsidRDefault="00AC30B8" w:rsidP="00B74F46">
      <w:pPr>
        <w:pStyle w:val="Titolo2"/>
        <w:rPr>
          <w:rFonts w:ascii="Bookman Old Style" w:hAnsi="Bookman Old Style"/>
          <w:b/>
          <w:bCs/>
          <w:sz w:val="22"/>
          <w:szCs w:val="22"/>
        </w:rPr>
      </w:pPr>
      <w:bookmarkStart w:id="34" w:name="_Toc240375141"/>
      <w:r w:rsidRPr="00D313FE">
        <w:rPr>
          <w:rFonts w:ascii="Bookman Old Style" w:hAnsi="Bookman Old Style"/>
          <w:b/>
          <w:bCs/>
          <w:sz w:val="22"/>
          <w:szCs w:val="22"/>
        </w:rPr>
        <w:t>Articolo 17 – Cessione dei veicoli destinati alla rivendita</w:t>
      </w:r>
      <w:bookmarkEnd w:id="34"/>
    </w:p>
    <w:p w14:paraId="7C206F24" w14:textId="77777777" w:rsidR="00AC30B8" w:rsidRPr="00FB4466" w:rsidRDefault="00AC30B8" w:rsidP="00AC30B8">
      <w:pPr>
        <w:jc w:val="both"/>
        <w:rPr>
          <w:rFonts w:ascii="Bookman Old Style" w:hAnsi="Bookman Old Style"/>
          <w:sz w:val="22"/>
          <w:szCs w:val="22"/>
        </w:rPr>
      </w:pPr>
      <w:r w:rsidRPr="00FB4466">
        <w:rPr>
          <w:rFonts w:ascii="Bookman Old Style" w:hAnsi="Bookman Old Style"/>
          <w:sz w:val="22"/>
          <w:szCs w:val="22"/>
        </w:rPr>
        <w:t>L’interruzione dell’obbligo di pagamento della tassa automobilistica in caso di cessione a un commerciante di veicoli è subordinata alla trascrizione della cessione al PRA. Non sono sufficienti la procura speciale a vendere o la fattura non accompagnata dal trasferimento della proprietà.</w:t>
      </w:r>
    </w:p>
    <w:p w14:paraId="0354AD1F" w14:textId="77777777" w:rsidR="00AC30B8" w:rsidRPr="00FB4466" w:rsidRDefault="00AC30B8" w:rsidP="00AC30B8">
      <w:pPr>
        <w:jc w:val="both"/>
        <w:rPr>
          <w:rFonts w:ascii="Bookman Old Style" w:hAnsi="Bookman Old Style"/>
          <w:sz w:val="22"/>
          <w:szCs w:val="22"/>
        </w:rPr>
      </w:pPr>
      <w:r w:rsidRPr="00FB4466">
        <w:rPr>
          <w:rFonts w:ascii="Bookman Old Style" w:hAnsi="Bookman Old Style"/>
          <w:sz w:val="22"/>
          <w:szCs w:val="22"/>
        </w:rPr>
        <w:t>L’interruzione decorre dal periodo tributario successivo alla cessione e termina nel mese precedente alla rivendita. È previsto un diritto fisso di 1,55 euro per ciascun veicolo, salvo rinuncia da parte della regione o provincia autonoma.</w:t>
      </w:r>
    </w:p>
    <w:p w14:paraId="6282273F" w14:textId="77777777" w:rsidR="00AC30B8" w:rsidRPr="00D313FE" w:rsidRDefault="00AC30B8" w:rsidP="00B74F46">
      <w:pPr>
        <w:pStyle w:val="Titolo2"/>
        <w:rPr>
          <w:rFonts w:ascii="Bookman Old Style" w:hAnsi="Bookman Old Style"/>
          <w:b/>
          <w:bCs/>
          <w:sz w:val="22"/>
          <w:szCs w:val="22"/>
        </w:rPr>
      </w:pPr>
      <w:bookmarkStart w:id="35" w:name="_Toc240375142"/>
      <w:r w:rsidRPr="00D313FE">
        <w:rPr>
          <w:rFonts w:ascii="Bookman Old Style" w:hAnsi="Bookman Old Style"/>
          <w:b/>
          <w:bCs/>
          <w:sz w:val="22"/>
          <w:szCs w:val="22"/>
        </w:rPr>
        <w:t>Articolo 18 – Versamento a ente impositore incompetente</w:t>
      </w:r>
      <w:bookmarkEnd w:id="35"/>
    </w:p>
    <w:p w14:paraId="4B475194" w14:textId="44B3E593" w:rsidR="00AC30B8" w:rsidRPr="00FB4466" w:rsidRDefault="00AC30B8" w:rsidP="00AC30B8">
      <w:pPr>
        <w:jc w:val="both"/>
        <w:rPr>
          <w:rFonts w:ascii="Bookman Old Style" w:hAnsi="Bookman Old Style"/>
          <w:sz w:val="22"/>
          <w:szCs w:val="22"/>
        </w:rPr>
      </w:pPr>
      <w:r w:rsidRPr="00FB4466">
        <w:rPr>
          <w:rFonts w:ascii="Bookman Old Style" w:hAnsi="Bookman Old Style"/>
          <w:sz w:val="22"/>
          <w:szCs w:val="22"/>
        </w:rPr>
        <w:t>Quando un ente riceve un pagamento della tassa automobilistica spettante a un altro ente, deve attivare tempestivamente il riversamento delle somme al soggetto competente.</w:t>
      </w:r>
      <w:r w:rsidR="002F671C">
        <w:rPr>
          <w:rFonts w:ascii="Bookman Old Style" w:hAnsi="Bookman Old Style"/>
          <w:sz w:val="22"/>
          <w:szCs w:val="22"/>
        </w:rPr>
        <w:t xml:space="preserve"> </w:t>
      </w:r>
      <w:r w:rsidRPr="00FB4466">
        <w:rPr>
          <w:rFonts w:ascii="Bookman Old Style" w:hAnsi="Bookman Old Style"/>
          <w:sz w:val="22"/>
          <w:szCs w:val="22"/>
        </w:rPr>
        <w:t>Gli enti devono inoltre predisporre un modello o uno strumento tecnologico che consenta al contribuente di comunicare gli estremi del pagamento sia all’ente che ha ricevuto erroneamente le somme sia a quello effettivamente competente.</w:t>
      </w:r>
    </w:p>
    <w:p w14:paraId="0A117834" w14:textId="77777777" w:rsidR="00AC30B8" w:rsidRDefault="00AC30B8" w:rsidP="00AC30B8">
      <w:pPr>
        <w:jc w:val="both"/>
        <w:rPr>
          <w:rFonts w:ascii="Bookman Old Style" w:hAnsi="Bookman Old Style"/>
          <w:sz w:val="22"/>
          <w:szCs w:val="22"/>
        </w:rPr>
      </w:pPr>
      <w:r w:rsidRPr="00FB4466">
        <w:rPr>
          <w:rFonts w:ascii="Bookman Old Style" w:hAnsi="Bookman Old Style"/>
          <w:sz w:val="22"/>
          <w:szCs w:val="22"/>
        </w:rPr>
        <w:t>La disposizione tutela il contribuente, evitando che l’errore nella destinazione del pagamento determini la necessità di un secondo versamento seguito da una domanda di rimborso.</w:t>
      </w:r>
    </w:p>
    <w:p w14:paraId="5B3D29C5" w14:textId="77777777" w:rsidR="00AC30B8" w:rsidRPr="00D313FE" w:rsidRDefault="00AC30B8" w:rsidP="00B74F46">
      <w:pPr>
        <w:pStyle w:val="Titolo2"/>
        <w:rPr>
          <w:rFonts w:ascii="Bookman Old Style" w:hAnsi="Bookman Old Style"/>
          <w:b/>
          <w:bCs/>
          <w:sz w:val="22"/>
          <w:szCs w:val="22"/>
        </w:rPr>
      </w:pPr>
      <w:bookmarkStart w:id="36" w:name="_Toc240375143"/>
      <w:r w:rsidRPr="00D313FE">
        <w:rPr>
          <w:rFonts w:ascii="Bookman Old Style" w:hAnsi="Bookman Old Style"/>
          <w:b/>
          <w:bCs/>
          <w:sz w:val="22"/>
          <w:szCs w:val="22"/>
        </w:rPr>
        <w:t>Articolo 19 – Fermo amministrativo</w:t>
      </w:r>
      <w:bookmarkEnd w:id="36"/>
    </w:p>
    <w:p w14:paraId="54786453" w14:textId="77777777" w:rsidR="00AC30B8" w:rsidRPr="00FB4466" w:rsidRDefault="00AC30B8" w:rsidP="00AC30B8">
      <w:pPr>
        <w:jc w:val="both"/>
        <w:rPr>
          <w:rFonts w:ascii="Bookman Old Style" w:hAnsi="Bookman Old Style"/>
          <w:sz w:val="22"/>
          <w:szCs w:val="22"/>
        </w:rPr>
      </w:pPr>
      <w:r w:rsidRPr="00FB4466">
        <w:rPr>
          <w:rFonts w:ascii="Bookman Old Style" w:hAnsi="Bookman Old Style"/>
          <w:sz w:val="22"/>
          <w:szCs w:val="22"/>
        </w:rPr>
        <w:t>La tassa automobilistica resta dovuta anche quando sul veicolo è disposto un fermo amministrativo dall’agente della riscossione o dal soggetto incaricato dall’ente territoriale.</w:t>
      </w:r>
    </w:p>
    <w:p w14:paraId="29ADA45D" w14:textId="77777777" w:rsidR="00AC30B8" w:rsidRPr="00FB4466" w:rsidRDefault="00AC30B8" w:rsidP="00AC30B8">
      <w:pPr>
        <w:jc w:val="both"/>
        <w:rPr>
          <w:rFonts w:ascii="Bookman Old Style" w:hAnsi="Bookman Old Style"/>
          <w:sz w:val="22"/>
          <w:szCs w:val="22"/>
        </w:rPr>
      </w:pPr>
      <w:r w:rsidRPr="00FB4466">
        <w:rPr>
          <w:rFonts w:ascii="Bookman Old Style" w:hAnsi="Bookman Old Style"/>
          <w:sz w:val="22"/>
          <w:szCs w:val="22"/>
        </w:rPr>
        <w:t xml:space="preserve">La norma chiarisce che il fermo avente natura cautelare nella riscossione non determina la cessazione dell’obbligazione tributaria. </w:t>
      </w:r>
    </w:p>
    <w:p w14:paraId="05873FF5" w14:textId="77777777" w:rsidR="00AC30B8" w:rsidRPr="00B74F46" w:rsidRDefault="00AC30B8" w:rsidP="00B74F46">
      <w:pPr>
        <w:pStyle w:val="Titolo2"/>
        <w:rPr>
          <w:rFonts w:ascii="Bookman Old Style" w:hAnsi="Bookman Old Style"/>
          <w:b/>
          <w:bCs/>
          <w:sz w:val="22"/>
          <w:szCs w:val="22"/>
        </w:rPr>
      </w:pPr>
      <w:bookmarkStart w:id="37" w:name="_Toc240375144"/>
      <w:r w:rsidRPr="00B74F46">
        <w:rPr>
          <w:rFonts w:ascii="Bookman Old Style" w:hAnsi="Bookman Old Style"/>
          <w:b/>
          <w:bCs/>
          <w:sz w:val="22"/>
          <w:szCs w:val="22"/>
        </w:rPr>
        <w:lastRenderedPageBreak/>
        <w:t>Articolo 20 – Adeguamento delle tariffe</w:t>
      </w:r>
      <w:bookmarkEnd w:id="37"/>
    </w:p>
    <w:p w14:paraId="30AD4803" w14:textId="77777777" w:rsidR="00AC30B8" w:rsidRPr="00FB4466" w:rsidRDefault="00AC30B8" w:rsidP="00AC30B8">
      <w:pPr>
        <w:jc w:val="both"/>
        <w:rPr>
          <w:rFonts w:ascii="Bookman Old Style" w:hAnsi="Bookman Old Style"/>
          <w:sz w:val="22"/>
          <w:szCs w:val="22"/>
        </w:rPr>
      </w:pPr>
      <w:r w:rsidRPr="00FB4466">
        <w:rPr>
          <w:rFonts w:ascii="Bookman Old Style" w:hAnsi="Bookman Old Style"/>
          <w:sz w:val="22"/>
          <w:szCs w:val="22"/>
        </w:rPr>
        <w:t>Le categorie tariffarie riferite ai veicoli Euro 4 ed Euro 5 vengono estese anche alle classi ambientali superiori. Per i motocicli, il riferimento a Euro 3 viene integrato con le classi successive.</w:t>
      </w:r>
    </w:p>
    <w:p w14:paraId="02B062CD" w14:textId="77777777" w:rsidR="00AC30B8" w:rsidRPr="00D313FE" w:rsidRDefault="00AC30B8" w:rsidP="00B74F46">
      <w:pPr>
        <w:pStyle w:val="Titolo2"/>
        <w:rPr>
          <w:rFonts w:ascii="Bookman Old Style" w:hAnsi="Bookman Old Style"/>
          <w:b/>
          <w:bCs/>
          <w:sz w:val="22"/>
          <w:szCs w:val="22"/>
        </w:rPr>
      </w:pPr>
      <w:bookmarkStart w:id="38" w:name="_Toc240375145"/>
      <w:r w:rsidRPr="00D313FE">
        <w:rPr>
          <w:rFonts w:ascii="Bookman Old Style" w:hAnsi="Bookman Old Style"/>
          <w:b/>
          <w:bCs/>
          <w:sz w:val="22"/>
          <w:szCs w:val="22"/>
        </w:rPr>
        <w:t>Articolo 21 – Autovetture adibite a noleggio con conducente</w:t>
      </w:r>
      <w:bookmarkEnd w:id="38"/>
    </w:p>
    <w:p w14:paraId="43CAFF6E" w14:textId="77777777" w:rsidR="00AC30B8" w:rsidRPr="00FB4466" w:rsidRDefault="00AC30B8" w:rsidP="00AC30B8">
      <w:pPr>
        <w:jc w:val="both"/>
        <w:rPr>
          <w:rFonts w:ascii="Bookman Old Style" w:hAnsi="Bookman Old Style"/>
          <w:sz w:val="22"/>
          <w:szCs w:val="22"/>
        </w:rPr>
      </w:pPr>
      <w:r w:rsidRPr="00FB4466">
        <w:rPr>
          <w:rFonts w:ascii="Bookman Old Style" w:hAnsi="Bookman Old Style"/>
          <w:sz w:val="22"/>
          <w:szCs w:val="22"/>
        </w:rPr>
        <w:t>La disposizione interpreta l’espressione “autovetture da noleggio di rimessa” come riferita alle autovetture adibite a noleggio con conducente.</w:t>
      </w:r>
    </w:p>
    <w:p w14:paraId="5DB5F834" w14:textId="77777777" w:rsidR="00AC30B8" w:rsidRPr="00FB4466" w:rsidRDefault="00AC30B8" w:rsidP="00AC30B8">
      <w:pPr>
        <w:jc w:val="both"/>
        <w:rPr>
          <w:rFonts w:ascii="Bookman Old Style" w:hAnsi="Bookman Old Style"/>
          <w:sz w:val="22"/>
          <w:szCs w:val="22"/>
        </w:rPr>
      </w:pPr>
      <w:r w:rsidRPr="00FB4466">
        <w:rPr>
          <w:rFonts w:ascii="Bookman Old Style" w:hAnsi="Bookman Old Style"/>
          <w:sz w:val="22"/>
          <w:szCs w:val="22"/>
        </w:rPr>
        <w:t>Si tratta di una norma interpretativa finalizzata a uniformare l’applicazione della specifica tariffa prevista dal testo unico delle tasse automobilistiche e a superare incertezze terminologiche derivanti dall’evoluzione della disciplina del trasporto pubblico non di linea.</w:t>
      </w:r>
    </w:p>
    <w:p w14:paraId="28FFBA2F" w14:textId="77777777" w:rsidR="00AC30B8" w:rsidRPr="00D313FE" w:rsidRDefault="00AC30B8" w:rsidP="00B74F46">
      <w:pPr>
        <w:pStyle w:val="Titolo2"/>
        <w:rPr>
          <w:rFonts w:ascii="Bookman Old Style" w:hAnsi="Bookman Old Style"/>
          <w:b/>
          <w:bCs/>
          <w:sz w:val="22"/>
          <w:szCs w:val="22"/>
        </w:rPr>
      </w:pPr>
      <w:bookmarkStart w:id="39" w:name="_Toc240375146"/>
      <w:r w:rsidRPr="00D313FE">
        <w:rPr>
          <w:rFonts w:ascii="Bookman Old Style" w:hAnsi="Bookman Old Style"/>
          <w:b/>
          <w:bCs/>
          <w:sz w:val="22"/>
          <w:szCs w:val="22"/>
        </w:rPr>
        <w:t>Articolo 22 – Archivio nazionale delle tasse automobilistiche</w:t>
      </w:r>
      <w:bookmarkEnd w:id="39"/>
    </w:p>
    <w:p w14:paraId="75966800" w14:textId="77777777" w:rsidR="00AC30B8" w:rsidRPr="00FB4466" w:rsidRDefault="00AC30B8" w:rsidP="00AC30B8">
      <w:pPr>
        <w:jc w:val="both"/>
        <w:rPr>
          <w:rFonts w:ascii="Bookman Old Style" w:hAnsi="Bookman Old Style"/>
          <w:sz w:val="22"/>
          <w:szCs w:val="22"/>
        </w:rPr>
      </w:pPr>
      <w:r w:rsidRPr="00FB4466">
        <w:rPr>
          <w:rFonts w:ascii="Bookman Old Style" w:hAnsi="Bookman Old Style"/>
          <w:sz w:val="22"/>
          <w:szCs w:val="22"/>
        </w:rPr>
        <w:t>L’articolo consolida l’Archivio nazionale delle tasse automobilistiche, denominato ANTA, e ne dispone il continuo aggiornamento. Il gestore del PRA deve assicurare l’integrazione tra l’archivio nazionale e gli archivi dei singoli enti impositori.</w:t>
      </w:r>
    </w:p>
    <w:p w14:paraId="2620BA6B" w14:textId="77777777" w:rsidR="00AC30B8" w:rsidRPr="00FB4466" w:rsidRDefault="00AC30B8" w:rsidP="00AC30B8">
      <w:pPr>
        <w:jc w:val="both"/>
        <w:rPr>
          <w:rFonts w:ascii="Bookman Old Style" w:hAnsi="Bookman Old Style"/>
          <w:sz w:val="22"/>
          <w:szCs w:val="22"/>
        </w:rPr>
      </w:pPr>
      <w:r w:rsidRPr="00FB4466">
        <w:rPr>
          <w:rFonts w:ascii="Bookman Old Style" w:hAnsi="Bookman Old Style"/>
          <w:sz w:val="22"/>
          <w:szCs w:val="22"/>
        </w:rPr>
        <w:t>Tra le funzioni affidate al gestore rientrano il supporto a PagoPA, l’abbinamento tra versamenti ed enti competenti, la bonifica dei dati, l’integrazione con fonti certificate, la predisposizione delle informazioni per l’accertamento e il controllo degli accessi.</w:t>
      </w:r>
    </w:p>
    <w:p w14:paraId="509C5C6F" w14:textId="77777777" w:rsidR="00AC30B8" w:rsidRPr="00FB4466" w:rsidRDefault="00AC30B8" w:rsidP="00AC30B8">
      <w:pPr>
        <w:jc w:val="both"/>
        <w:rPr>
          <w:rFonts w:ascii="Bookman Old Style" w:hAnsi="Bookman Old Style"/>
          <w:sz w:val="22"/>
          <w:szCs w:val="22"/>
        </w:rPr>
      </w:pPr>
      <w:r w:rsidRPr="00FB4466">
        <w:rPr>
          <w:rFonts w:ascii="Bookman Old Style" w:hAnsi="Bookman Old Style"/>
          <w:sz w:val="22"/>
          <w:szCs w:val="22"/>
        </w:rPr>
        <w:t xml:space="preserve">Le regioni e le province autonome continuano a gestire i propri archivi, anche attraverso disciplinari di cooperazione con il gestore del PRA. </w:t>
      </w:r>
    </w:p>
    <w:p w14:paraId="1992E5B1" w14:textId="77777777" w:rsidR="00AC30B8" w:rsidRPr="00FB4466" w:rsidRDefault="00AC30B8" w:rsidP="00AC30B8">
      <w:pPr>
        <w:jc w:val="both"/>
        <w:rPr>
          <w:rFonts w:ascii="Bookman Old Style" w:hAnsi="Bookman Old Style"/>
          <w:sz w:val="22"/>
          <w:szCs w:val="22"/>
        </w:rPr>
      </w:pPr>
      <w:r w:rsidRPr="00457A73">
        <w:rPr>
          <w:rFonts w:ascii="Bookman Old Style" w:hAnsi="Bookman Old Style"/>
          <w:b/>
          <w:bCs/>
          <w:sz w:val="22"/>
          <w:szCs w:val="22"/>
        </w:rPr>
        <w:t xml:space="preserve">La norma assume rilievo anche per </w:t>
      </w:r>
      <w:r>
        <w:rPr>
          <w:rFonts w:ascii="Bookman Old Style" w:hAnsi="Bookman Old Style"/>
          <w:b/>
          <w:bCs/>
          <w:sz w:val="22"/>
          <w:szCs w:val="22"/>
        </w:rPr>
        <w:t>P</w:t>
      </w:r>
      <w:r w:rsidRPr="00457A73">
        <w:rPr>
          <w:rFonts w:ascii="Bookman Old Style" w:hAnsi="Bookman Old Style"/>
          <w:b/>
          <w:bCs/>
          <w:sz w:val="22"/>
          <w:szCs w:val="22"/>
        </w:rPr>
        <w:t xml:space="preserve">rovince e </w:t>
      </w:r>
      <w:r>
        <w:rPr>
          <w:rFonts w:ascii="Bookman Old Style" w:hAnsi="Bookman Old Style"/>
          <w:b/>
          <w:bCs/>
          <w:sz w:val="22"/>
          <w:szCs w:val="22"/>
        </w:rPr>
        <w:t>C</w:t>
      </w:r>
      <w:r w:rsidRPr="00457A73">
        <w:rPr>
          <w:rFonts w:ascii="Bookman Old Style" w:hAnsi="Bookman Old Style"/>
          <w:b/>
          <w:bCs/>
          <w:sz w:val="22"/>
          <w:szCs w:val="22"/>
        </w:rPr>
        <w:t>ittà metropolitane</w:t>
      </w:r>
      <w:r w:rsidRPr="00FB4466">
        <w:rPr>
          <w:rFonts w:ascii="Bookman Old Style" w:hAnsi="Bookman Old Style"/>
          <w:sz w:val="22"/>
          <w:szCs w:val="22"/>
        </w:rPr>
        <w:t>, poiché i dati ANTA devono essere resi disponibili gratuitamente per il contrasto all’evasione dell’imposta provinciale di trascrizione. L’efficacia dell’intervento dipenderà dalla qualità, tempestività e interoperabilità delle informazioni trasmesse.</w:t>
      </w:r>
      <w:r>
        <w:rPr>
          <w:rFonts w:ascii="Bookman Old Style" w:hAnsi="Bookman Old Style"/>
          <w:sz w:val="22"/>
          <w:szCs w:val="22"/>
        </w:rPr>
        <w:t xml:space="preserve"> Si ritiene che il nuovo assetto delle informazioni permetta una più efficiente e meno costosa interrogazione dell’archivio nella gestione delle sanzioni per violazione al Codice della strada</w:t>
      </w:r>
    </w:p>
    <w:p w14:paraId="33828933" w14:textId="77777777" w:rsidR="00AC30B8" w:rsidRPr="00D313FE" w:rsidRDefault="00AC30B8" w:rsidP="00B74F46">
      <w:pPr>
        <w:pStyle w:val="Titolo2"/>
        <w:rPr>
          <w:rFonts w:ascii="Bookman Old Style" w:hAnsi="Bookman Old Style"/>
          <w:b/>
          <w:bCs/>
          <w:sz w:val="22"/>
          <w:szCs w:val="22"/>
        </w:rPr>
      </w:pPr>
      <w:bookmarkStart w:id="40" w:name="_Toc240375147"/>
      <w:r w:rsidRPr="00D313FE">
        <w:rPr>
          <w:rFonts w:ascii="Bookman Old Style" w:hAnsi="Bookman Old Style"/>
          <w:b/>
          <w:bCs/>
          <w:sz w:val="22"/>
          <w:szCs w:val="22"/>
        </w:rPr>
        <w:t>Articolo 23 – IRAP e addizionale regionale all’IRPEF</w:t>
      </w:r>
      <w:bookmarkEnd w:id="40"/>
    </w:p>
    <w:p w14:paraId="31D63176" w14:textId="77777777" w:rsidR="00AC30B8" w:rsidRPr="00FB4466" w:rsidRDefault="00AC30B8" w:rsidP="00AC30B8">
      <w:pPr>
        <w:jc w:val="both"/>
        <w:rPr>
          <w:rFonts w:ascii="Bookman Old Style" w:hAnsi="Bookman Old Style"/>
          <w:sz w:val="22"/>
          <w:szCs w:val="22"/>
        </w:rPr>
      </w:pPr>
      <w:r w:rsidRPr="00FB4466">
        <w:rPr>
          <w:rFonts w:ascii="Bookman Old Style" w:hAnsi="Bookman Old Style"/>
          <w:sz w:val="22"/>
          <w:szCs w:val="22"/>
        </w:rPr>
        <w:t>Le regioni possono introdurre detrazioni IRAP e ridurre l’aliquota fino all’azzeramento. Per l’addizionale regionale all’IRPEF è consentita l’introduzione di una soglia di esenzione collegata a specifici requisiti reddituali.</w:t>
      </w:r>
    </w:p>
    <w:p w14:paraId="01343DBC" w14:textId="77777777" w:rsidR="00AC30B8" w:rsidRPr="00FB4466" w:rsidRDefault="00AC30B8" w:rsidP="00AC30B8">
      <w:pPr>
        <w:jc w:val="both"/>
        <w:rPr>
          <w:rFonts w:ascii="Bookman Old Style" w:hAnsi="Bookman Old Style"/>
          <w:sz w:val="22"/>
          <w:szCs w:val="22"/>
        </w:rPr>
      </w:pPr>
      <w:r w:rsidRPr="00FB4466">
        <w:rPr>
          <w:rFonts w:ascii="Bookman Old Style" w:hAnsi="Bookman Old Style"/>
          <w:sz w:val="22"/>
          <w:szCs w:val="22"/>
        </w:rPr>
        <w:t>La norma chiarisce che, superata la soglia, l’addizionale si applica all’intero reddito complessivo e non alla sola parte eccedente. L’aliquota di base resta fissata all’1,23 per cento e può essere maggiorata con legge regionale approvata entro il 31 dicembre dell’anno precedente.</w:t>
      </w:r>
    </w:p>
    <w:p w14:paraId="4C30FBCF" w14:textId="77777777" w:rsidR="00AC30B8" w:rsidRPr="00D313FE" w:rsidRDefault="00AC30B8" w:rsidP="00B74F46">
      <w:pPr>
        <w:pStyle w:val="Titolo2"/>
        <w:rPr>
          <w:rFonts w:ascii="Bookman Old Style" w:hAnsi="Bookman Old Style"/>
          <w:b/>
          <w:bCs/>
          <w:sz w:val="22"/>
          <w:szCs w:val="22"/>
        </w:rPr>
      </w:pPr>
      <w:bookmarkStart w:id="41" w:name="_Toc240375148"/>
      <w:r w:rsidRPr="00D313FE">
        <w:rPr>
          <w:rFonts w:ascii="Bookman Old Style" w:hAnsi="Bookman Old Style"/>
          <w:b/>
          <w:bCs/>
          <w:sz w:val="22"/>
          <w:szCs w:val="22"/>
        </w:rPr>
        <w:t>Articolo 24 – Termini per l’adozione di misure tributarie regionali</w:t>
      </w:r>
      <w:bookmarkEnd w:id="41"/>
    </w:p>
    <w:p w14:paraId="0E391BFB" w14:textId="77777777" w:rsidR="00AC30B8" w:rsidRPr="00FB4466" w:rsidRDefault="00AC30B8" w:rsidP="00AC30B8">
      <w:pPr>
        <w:jc w:val="both"/>
        <w:rPr>
          <w:rFonts w:ascii="Bookman Old Style" w:hAnsi="Bookman Old Style"/>
          <w:sz w:val="22"/>
          <w:szCs w:val="22"/>
        </w:rPr>
      </w:pPr>
      <w:r w:rsidRPr="00FB4466">
        <w:rPr>
          <w:rFonts w:ascii="Bookman Old Style" w:hAnsi="Bookman Old Style"/>
          <w:sz w:val="22"/>
          <w:szCs w:val="22"/>
        </w:rPr>
        <w:t>Il termine per la determinazione della tassa regionale per il diritto allo studio universitario viene spostato dal 30 giugno al 30 settembre. Analoga proroga è prevista per la determinazione del tributo speciale per il deposito in discarica e l’incenerimento senza recupero energetico.</w:t>
      </w:r>
    </w:p>
    <w:p w14:paraId="3FF31AB7" w14:textId="77777777" w:rsidR="00AC30B8" w:rsidRDefault="00AC30B8" w:rsidP="00AC30B8">
      <w:pPr>
        <w:jc w:val="both"/>
        <w:rPr>
          <w:rFonts w:ascii="Bookman Old Style" w:hAnsi="Bookman Old Style"/>
          <w:sz w:val="22"/>
          <w:szCs w:val="22"/>
        </w:rPr>
      </w:pPr>
      <w:r w:rsidRPr="00FB4466">
        <w:rPr>
          <w:rFonts w:ascii="Bookman Old Style" w:hAnsi="Bookman Old Style"/>
          <w:sz w:val="22"/>
          <w:szCs w:val="22"/>
        </w:rPr>
        <w:lastRenderedPageBreak/>
        <w:t>La disposizione amplia il tempo a disposizione delle regioni per adottare le relative misure, avvicinando il termine alla fase di definizione della manovra finanziaria regionale.</w:t>
      </w:r>
    </w:p>
    <w:p w14:paraId="6C54B099" w14:textId="77777777" w:rsidR="00AC30B8" w:rsidRDefault="00AC30B8" w:rsidP="00AC30B8">
      <w:pPr>
        <w:jc w:val="both"/>
        <w:rPr>
          <w:rFonts w:ascii="Bookman Old Style" w:hAnsi="Bookman Old Style"/>
          <w:sz w:val="22"/>
          <w:szCs w:val="22"/>
        </w:rPr>
      </w:pPr>
    </w:p>
    <w:p w14:paraId="627B890A" w14:textId="27EF2928" w:rsidR="00301835" w:rsidRDefault="00301835" w:rsidP="00301835">
      <w:pPr>
        <w:pStyle w:val="Titolo2"/>
        <w:rPr>
          <w:rFonts w:ascii="Bookman Old Style" w:hAnsi="Bookman Old Style"/>
          <w:b/>
          <w:bCs/>
          <w:sz w:val="22"/>
          <w:szCs w:val="22"/>
        </w:rPr>
      </w:pPr>
      <w:bookmarkStart w:id="42" w:name="_Toc240375149"/>
      <w:r w:rsidRPr="007B3DDD">
        <w:rPr>
          <w:rFonts w:ascii="Bookman Old Style" w:hAnsi="Bookman Old Style"/>
          <w:b/>
          <w:bCs/>
          <w:sz w:val="22"/>
          <w:szCs w:val="22"/>
        </w:rPr>
        <w:t>Norme finali</w:t>
      </w:r>
      <w:bookmarkEnd w:id="42"/>
    </w:p>
    <w:p w14:paraId="231F82EB" w14:textId="77777777" w:rsidR="00930809" w:rsidRPr="007B3DDD" w:rsidRDefault="00930809" w:rsidP="007B3DDD"/>
    <w:p w14:paraId="17B340F2" w14:textId="77777777" w:rsidR="00FB4466" w:rsidRPr="00D313FE" w:rsidRDefault="00FB4466" w:rsidP="00B74F46">
      <w:pPr>
        <w:pStyle w:val="Titolo2"/>
        <w:rPr>
          <w:rFonts w:ascii="Bookman Old Style" w:hAnsi="Bookman Old Style"/>
          <w:b/>
          <w:bCs/>
          <w:sz w:val="22"/>
          <w:szCs w:val="22"/>
        </w:rPr>
      </w:pPr>
      <w:bookmarkStart w:id="43" w:name="_Toc240375150"/>
      <w:r w:rsidRPr="00D313FE">
        <w:rPr>
          <w:rFonts w:ascii="Bookman Old Style" w:hAnsi="Bookman Old Style"/>
          <w:b/>
          <w:bCs/>
          <w:sz w:val="22"/>
          <w:szCs w:val="22"/>
        </w:rPr>
        <w:t>Articolo 37 – Clausola di salvaguardia</w:t>
      </w:r>
      <w:bookmarkEnd w:id="43"/>
    </w:p>
    <w:p w14:paraId="52CF43E7" w14:textId="3F18F5F9" w:rsidR="00FB4466" w:rsidRPr="00FB4466" w:rsidRDefault="00FB4466" w:rsidP="00FB4466">
      <w:pPr>
        <w:jc w:val="both"/>
        <w:rPr>
          <w:rFonts w:ascii="Bookman Old Style" w:hAnsi="Bookman Old Style"/>
          <w:sz w:val="22"/>
          <w:szCs w:val="22"/>
        </w:rPr>
      </w:pPr>
      <w:r w:rsidRPr="00FB4466">
        <w:rPr>
          <w:rFonts w:ascii="Bookman Old Style" w:hAnsi="Bookman Old Style"/>
          <w:sz w:val="22"/>
          <w:szCs w:val="22"/>
        </w:rPr>
        <w:t xml:space="preserve">Le disposizioni del decreto si applicano alle </w:t>
      </w:r>
      <w:r w:rsidR="00C64838">
        <w:rPr>
          <w:rFonts w:ascii="Bookman Old Style" w:hAnsi="Bookman Old Style"/>
          <w:sz w:val="22"/>
          <w:szCs w:val="22"/>
        </w:rPr>
        <w:t>R</w:t>
      </w:r>
      <w:r w:rsidR="00C64838" w:rsidRPr="00FB4466">
        <w:rPr>
          <w:rFonts w:ascii="Bookman Old Style" w:hAnsi="Bookman Old Style"/>
          <w:sz w:val="22"/>
          <w:szCs w:val="22"/>
        </w:rPr>
        <w:t xml:space="preserve">egioni </w:t>
      </w:r>
      <w:r w:rsidRPr="00FB4466">
        <w:rPr>
          <w:rFonts w:ascii="Bookman Old Style" w:hAnsi="Bookman Old Style"/>
          <w:sz w:val="22"/>
          <w:szCs w:val="22"/>
        </w:rPr>
        <w:t xml:space="preserve">a statuto speciale e alle </w:t>
      </w:r>
      <w:r w:rsidR="00C64838">
        <w:rPr>
          <w:rFonts w:ascii="Bookman Old Style" w:hAnsi="Bookman Old Style"/>
          <w:sz w:val="22"/>
          <w:szCs w:val="22"/>
        </w:rPr>
        <w:t>P</w:t>
      </w:r>
      <w:r w:rsidR="00C64838" w:rsidRPr="00FB4466">
        <w:rPr>
          <w:rFonts w:ascii="Bookman Old Style" w:hAnsi="Bookman Old Style"/>
          <w:sz w:val="22"/>
          <w:szCs w:val="22"/>
        </w:rPr>
        <w:t xml:space="preserve">rovince </w:t>
      </w:r>
      <w:r w:rsidRPr="00FB4466">
        <w:rPr>
          <w:rFonts w:ascii="Bookman Old Style" w:hAnsi="Bookman Old Style"/>
          <w:sz w:val="22"/>
          <w:szCs w:val="22"/>
        </w:rPr>
        <w:t>autonome nei limiti della compatibilità con gli statuti e con le relative norme di attuazione.</w:t>
      </w:r>
    </w:p>
    <w:p w14:paraId="746CD366" w14:textId="77777777" w:rsidR="00FB4466" w:rsidRPr="00FB4466" w:rsidRDefault="00FB4466" w:rsidP="00FB4466">
      <w:pPr>
        <w:jc w:val="both"/>
        <w:rPr>
          <w:rFonts w:ascii="Bookman Old Style" w:hAnsi="Bookman Old Style"/>
          <w:sz w:val="22"/>
          <w:szCs w:val="22"/>
        </w:rPr>
      </w:pPr>
      <w:r w:rsidRPr="00FB4466">
        <w:rPr>
          <w:rFonts w:ascii="Bookman Old Style" w:hAnsi="Bookman Old Style"/>
          <w:sz w:val="22"/>
          <w:szCs w:val="22"/>
        </w:rPr>
        <w:t>La norma conferma la necessità di verificare, per ciascuna disposizione, l’assetto delle competenze e dell’autonomia finanziaria previsto dagli ordinamenti speciali.</w:t>
      </w:r>
    </w:p>
    <w:p w14:paraId="0DF6F222" w14:textId="77777777" w:rsidR="00FB4466" w:rsidRPr="00D313FE" w:rsidRDefault="00FB4466" w:rsidP="00B74F46">
      <w:pPr>
        <w:pStyle w:val="Titolo2"/>
        <w:rPr>
          <w:rFonts w:ascii="Bookman Old Style" w:hAnsi="Bookman Old Style"/>
          <w:b/>
          <w:bCs/>
          <w:sz w:val="22"/>
          <w:szCs w:val="22"/>
        </w:rPr>
      </w:pPr>
      <w:bookmarkStart w:id="44" w:name="_Toc240375151"/>
      <w:r w:rsidRPr="00D313FE">
        <w:rPr>
          <w:rFonts w:ascii="Bookman Old Style" w:hAnsi="Bookman Old Style"/>
          <w:b/>
          <w:bCs/>
          <w:sz w:val="22"/>
          <w:szCs w:val="22"/>
        </w:rPr>
        <w:t>Articolo 38 – Disposizioni finanziarie</w:t>
      </w:r>
      <w:bookmarkEnd w:id="44"/>
    </w:p>
    <w:p w14:paraId="55B3C26A" w14:textId="77777777" w:rsidR="00FB4466" w:rsidRPr="00FB4466" w:rsidRDefault="00FB4466" w:rsidP="00FB4466">
      <w:pPr>
        <w:jc w:val="both"/>
        <w:rPr>
          <w:rFonts w:ascii="Bookman Old Style" w:hAnsi="Bookman Old Style"/>
          <w:sz w:val="22"/>
          <w:szCs w:val="22"/>
        </w:rPr>
      </w:pPr>
      <w:r w:rsidRPr="00FB4466">
        <w:rPr>
          <w:rFonts w:ascii="Bookman Old Style" w:hAnsi="Bookman Old Style"/>
          <w:sz w:val="22"/>
          <w:szCs w:val="22"/>
        </w:rPr>
        <w:t>Salvo le specifiche coperture previste per gli articoli 11, 15, 33, 34 e 36, dall’attuazione del decreto non devono derivare nuovi o maggiori oneri per la finanza pubblica.</w:t>
      </w:r>
    </w:p>
    <w:p w14:paraId="6C3641F5" w14:textId="3BA12EE5" w:rsidR="00FB4466" w:rsidRPr="00FB4466" w:rsidRDefault="00FB4466" w:rsidP="00FB4466">
      <w:pPr>
        <w:jc w:val="both"/>
        <w:rPr>
          <w:rFonts w:ascii="Bookman Old Style" w:hAnsi="Bookman Old Style"/>
          <w:sz w:val="22"/>
          <w:szCs w:val="22"/>
        </w:rPr>
      </w:pPr>
      <w:r w:rsidRPr="00FB4466">
        <w:rPr>
          <w:rFonts w:ascii="Bookman Old Style" w:hAnsi="Bookman Old Style"/>
          <w:sz w:val="22"/>
          <w:szCs w:val="22"/>
        </w:rPr>
        <w:t xml:space="preserve">Le amministrazioni devono provvedere utilizzando le risorse umane, strumentali e finanziarie disponibili. La clausola è particolarmente rilevante per gli enti territoriali, poiché molte disposizioni comportano adeguamenti regolamentari, informatici, procedurali e formativi. </w:t>
      </w:r>
    </w:p>
    <w:p w14:paraId="788D51F5" w14:textId="77777777" w:rsidR="00FB4466" w:rsidRPr="00D313FE" w:rsidRDefault="00FB4466" w:rsidP="00B74F46">
      <w:pPr>
        <w:pStyle w:val="Titolo2"/>
        <w:rPr>
          <w:rFonts w:ascii="Bookman Old Style" w:hAnsi="Bookman Old Style"/>
          <w:b/>
          <w:bCs/>
          <w:sz w:val="22"/>
          <w:szCs w:val="22"/>
        </w:rPr>
      </w:pPr>
      <w:bookmarkStart w:id="45" w:name="_Toc240375152"/>
      <w:r w:rsidRPr="00D313FE">
        <w:rPr>
          <w:rFonts w:ascii="Bookman Old Style" w:hAnsi="Bookman Old Style"/>
          <w:b/>
          <w:bCs/>
          <w:sz w:val="22"/>
          <w:szCs w:val="22"/>
        </w:rPr>
        <w:t>Articolo 39 – Entrata in vigore</w:t>
      </w:r>
      <w:bookmarkEnd w:id="45"/>
    </w:p>
    <w:p w14:paraId="608E0AE1" w14:textId="77777777" w:rsidR="00FB4466" w:rsidRPr="00FB4466" w:rsidRDefault="00FB4466" w:rsidP="00FB4466">
      <w:pPr>
        <w:jc w:val="both"/>
        <w:rPr>
          <w:rFonts w:ascii="Bookman Old Style" w:hAnsi="Bookman Old Style"/>
          <w:sz w:val="22"/>
          <w:szCs w:val="22"/>
        </w:rPr>
      </w:pPr>
      <w:r w:rsidRPr="00FB4466">
        <w:rPr>
          <w:rFonts w:ascii="Bookman Old Style" w:hAnsi="Bookman Old Style"/>
          <w:sz w:val="22"/>
          <w:szCs w:val="22"/>
        </w:rPr>
        <w:t>Il decreto entra in vigore il giorno successivo alla pubblicazione nella Gazzetta Ufficiale.</w:t>
      </w:r>
    </w:p>
    <w:p w14:paraId="444442B6" w14:textId="77777777" w:rsidR="00FB4466" w:rsidRPr="00FB4466" w:rsidRDefault="00FB4466" w:rsidP="00FB4466">
      <w:pPr>
        <w:jc w:val="both"/>
        <w:rPr>
          <w:rFonts w:ascii="Bookman Old Style" w:hAnsi="Bookman Old Style"/>
          <w:sz w:val="22"/>
          <w:szCs w:val="22"/>
        </w:rPr>
      </w:pPr>
      <w:r w:rsidRPr="00FB4466">
        <w:rPr>
          <w:rFonts w:ascii="Bookman Old Style" w:hAnsi="Bookman Old Style"/>
          <w:sz w:val="22"/>
          <w:szCs w:val="22"/>
        </w:rPr>
        <w:t>Restano ferme le specifiche decorrenze differite previste dai singoli articoli, in particolare il 1° gennaio 2027 per numerose disposizioni in materia di sanzioni, riscossione e compartecipazioni e il 1° gennaio 2028 per la nuova disciplina delle scadenze della tassa automobilistica.</w:t>
      </w:r>
    </w:p>
    <w:p w14:paraId="09C02C51" w14:textId="77777777" w:rsidR="00FB4466" w:rsidRPr="00FB4466" w:rsidRDefault="00FB4466" w:rsidP="00FB4466">
      <w:pPr>
        <w:jc w:val="both"/>
        <w:rPr>
          <w:rFonts w:ascii="Bookman Old Style" w:hAnsi="Bookman Old Style"/>
          <w:sz w:val="22"/>
          <w:szCs w:val="22"/>
        </w:rPr>
      </w:pPr>
      <w:r w:rsidRPr="00FB4466">
        <w:rPr>
          <w:rFonts w:ascii="Bookman Old Style" w:hAnsi="Bookman Old Style"/>
          <w:sz w:val="22"/>
          <w:szCs w:val="22"/>
        </w:rPr>
        <w:t>Gli enti dovranno pertanto distinguere tra entrata in vigore formale del decreto e decorrenza sostanziale delle singole misure, programmando tempestivamente gli aggiornamenti dei regolamenti, dei sistemi gestionali e della modulistica.</w:t>
      </w:r>
    </w:p>
    <w:p w14:paraId="3055A64B" w14:textId="77777777" w:rsidR="002A6308" w:rsidRPr="00FB4466" w:rsidRDefault="002A6308" w:rsidP="00FB4466">
      <w:pPr>
        <w:jc w:val="both"/>
        <w:rPr>
          <w:rFonts w:ascii="Bookman Old Style" w:hAnsi="Bookman Old Style"/>
          <w:sz w:val="22"/>
          <w:szCs w:val="22"/>
        </w:rPr>
      </w:pPr>
    </w:p>
    <w:sectPr w:rsidR="002A6308" w:rsidRPr="00FB4466" w:rsidSect="0038123F">
      <w:headerReference w:type="default" r:id="rId8"/>
      <w:footerReference w:type="default" r:id="rId9"/>
      <w:pgSz w:w="11906" w:h="16838"/>
      <w:pgMar w:top="1702" w:right="1134" w:bottom="1134" w:left="1134"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031F7" w14:textId="77777777" w:rsidR="002E2C30" w:rsidRDefault="002E2C30" w:rsidP="00122336">
      <w:pPr>
        <w:spacing w:after="0" w:line="240" w:lineRule="auto"/>
      </w:pPr>
      <w:r>
        <w:separator/>
      </w:r>
    </w:p>
  </w:endnote>
  <w:endnote w:type="continuationSeparator" w:id="0">
    <w:p w14:paraId="35FA03C5" w14:textId="77777777" w:rsidR="002E2C30" w:rsidRDefault="002E2C30" w:rsidP="001223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ookman Old Style">
    <w:panose1 w:val="02050604050505020204"/>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0789885"/>
      <w:docPartObj>
        <w:docPartGallery w:val="Page Numbers (Bottom of Page)"/>
        <w:docPartUnique/>
      </w:docPartObj>
    </w:sdtPr>
    <w:sdtContent>
      <w:p w14:paraId="1B4E209A" w14:textId="41E7852C" w:rsidR="00122336" w:rsidRDefault="00122336">
        <w:pPr>
          <w:pStyle w:val="Pidipagina"/>
          <w:jc w:val="right"/>
        </w:pPr>
        <w:r w:rsidRPr="0061035C">
          <w:rPr>
            <w:sz w:val="20"/>
            <w:szCs w:val="20"/>
          </w:rPr>
          <w:fldChar w:fldCharType="begin"/>
        </w:r>
        <w:r w:rsidRPr="004725B5">
          <w:rPr>
            <w:sz w:val="20"/>
            <w:szCs w:val="20"/>
          </w:rPr>
          <w:instrText>PAGE   \* MERGEFORMAT</w:instrText>
        </w:r>
        <w:r w:rsidRPr="0061035C">
          <w:rPr>
            <w:sz w:val="20"/>
            <w:szCs w:val="20"/>
          </w:rPr>
          <w:fldChar w:fldCharType="separate"/>
        </w:r>
        <w:r w:rsidRPr="004725B5">
          <w:rPr>
            <w:sz w:val="20"/>
            <w:szCs w:val="20"/>
          </w:rPr>
          <w:t>2</w:t>
        </w:r>
        <w:r w:rsidRPr="0061035C">
          <w:rPr>
            <w:sz w:val="20"/>
            <w:szCs w:val="20"/>
          </w:rPr>
          <w:fldChar w:fldCharType="end"/>
        </w:r>
      </w:p>
    </w:sdtContent>
  </w:sdt>
  <w:p w14:paraId="5C3D0AD7" w14:textId="77777777" w:rsidR="00122336" w:rsidRDefault="00122336">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5B1020" w14:textId="77777777" w:rsidR="002E2C30" w:rsidRDefault="002E2C30" w:rsidP="00122336">
      <w:pPr>
        <w:spacing w:after="0" w:line="240" w:lineRule="auto"/>
      </w:pPr>
      <w:r>
        <w:separator/>
      </w:r>
    </w:p>
  </w:footnote>
  <w:footnote w:type="continuationSeparator" w:id="0">
    <w:p w14:paraId="738045F6" w14:textId="77777777" w:rsidR="002E2C30" w:rsidRDefault="002E2C30" w:rsidP="00122336">
      <w:pPr>
        <w:spacing w:after="0" w:line="240" w:lineRule="auto"/>
      </w:pPr>
      <w:r>
        <w:continuationSeparator/>
      </w:r>
    </w:p>
  </w:footnote>
  <w:footnote w:id="1">
    <w:p w14:paraId="51C29F1A" w14:textId="7B2FF1EC" w:rsidR="00C3503F" w:rsidRDefault="00C3503F" w:rsidP="000000C2">
      <w:pPr>
        <w:pStyle w:val="Testonotaapidipagina"/>
        <w:rPr>
          <w:rFonts w:ascii="Bookman Old Style" w:hAnsi="Bookman Old Style"/>
          <w:sz w:val="16"/>
          <w:szCs w:val="16"/>
        </w:rPr>
      </w:pPr>
      <w:r>
        <w:rPr>
          <w:rStyle w:val="Rimandonotaapidipagina"/>
        </w:rPr>
        <w:footnoteRef/>
      </w:r>
      <w:r>
        <w:t xml:space="preserve"> </w:t>
      </w:r>
      <w:r w:rsidRPr="00D313FE">
        <w:rPr>
          <w:rFonts w:ascii="Bookman Old Style" w:hAnsi="Bookman Old Style"/>
          <w:sz w:val="16"/>
          <w:szCs w:val="16"/>
        </w:rPr>
        <w:t>Ved. nota IFEL</w:t>
      </w:r>
      <w:r w:rsidR="00835817" w:rsidRPr="00D313FE">
        <w:rPr>
          <w:rFonts w:ascii="Bookman Old Style" w:hAnsi="Bookman Old Style"/>
          <w:sz w:val="16"/>
          <w:szCs w:val="16"/>
        </w:rPr>
        <w:t xml:space="preserve"> </w:t>
      </w:r>
      <w:hyperlink r:id="rId1" w:history="1">
        <w:r w:rsidR="000000C2" w:rsidRPr="000000C2">
          <w:rPr>
            <w:rStyle w:val="Collegamentoipertestuale"/>
            <w:rFonts w:ascii="Bookman Old Style" w:hAnsi="Bookman Old Style"/>
            <w:sz w:val="16"/>
            <w:szCs w:val="16"/>
          </w:rPr>
          <w:t>https://www.fondazioneifel.it/documenti-e-pubblicazioni/item/download/6012_0852959a558fad2dc8bcff1669faa7e</w:t>
        </w:r>
        <w:r w:rsidR="000000C2" w:rsidRPr="009136E4">
          <w:rPr>
            <w:rStyle w:val="Collegamentoipertestuale"/>
            <w:rFonts w:ascii="Bookman Old Style" w:hAnsi="Bookman Old Style"/>
            <w:sz w:val="16"/>
            <w:szCs w:val="16"/>
          </w:rPr>
          <w:t>9</w:t>
        </w:r>
      </w:hyperlink>
    </w:p>
    <w:p w14:paraId="27D1401E" w14:textId="77777777" w:rsidR="000000C2" w:rsidRPr="00D313FE" w:rsidRDefault="000000C2" w:rsidP="000000C2">
      <w:pPr>
        <w:pStyle w:val="Testonotaapidipagina"/>
        <w:rPr>
          <w:rFonts w:ascii="Bookman Old Style" w:hAnsi="Bookman Old Style"/>
          <w:sz w:val="16"/>
          <w:szCs w:val="16"/>
        </w:rPr>
      </w:pPr>
    </w:p>
  </w:footnote>
  <w:footnote w:id="2">
    <w:p w14:paraId="7371EF26" w14:textId="3A3165E0" w:rsidR="00EE7001" w:rsidRPr="00DB450E" w:rsidRDefault="00EE7001" w:rsidP="00DB450E">
      <w:pPr>
        <w:pStyle w:val="Testonotaapidipagina"/>
        <w:jc w:val="both"/>
        <w:rPr>
          <w:rFonts w:ascii="Bookman Old Style" w:hAnsi="Bookman Old Style"/>
          <w:sz w:val="16"/>
          <w:szCs w:val="16"/>
        </w:rPr>
      </w:pPr>
      <w:r>
        <w:rPr>
          <w:rStyle w:val="Rimandonotaapidipagina"/>
        </w:rPr>
        <w:footnoteRef/>
      </w:r>
      <w:r>
        <w:t xml:space="preserve"> </w:t>
      </w:r>
      <w:r>
        <w:rPr>
          <w:rFonts w:ascii="Book Antiqua" w:hAnsi="Book Antiqua"/>
        </w:rPr>
        <w:t xml:space="preserve"> </w:t>
      </w:r>
      <w:r w:rsidR="00CF78EC">
        <w:rPr>
          <w:rFonts w:ascii="Bookman Old Style" w:hAnsi="Bookman Old Style"/>
          <w:sz w:val="16"/>
          <w:szCs w:val="16"/>
        </w:rPr>
        <w:t xml:space="preserve">Appare </w:t>
      </w:r>
      <w:r w:rsidRPr="00DB450E">
        <w:rPr>
          <w:rFonts w:ascii="Bookman Old Style" w:hAnsi="Bookman Old Style"/>
          <w:sz w:val="16"/>
          <w:szCs w:val="16"/>
        </w:rPr>
        <w:t xml:space="preserve">opportuno </w:t>
      </w:r>
      <w:r w:rsidR="00CF78EC">
        <w:rPr>
          <w:rFonts w:ascii="Bookman Old Style" w:hAnsi="Bookman Old Style"/>
          <w:sz w:val="16"/>
          <w:szCs w:val="16"/>
        </w:rPr>
        <w:t xml:space="preserve">l’inserimento di </w:t>
      </w:r>
      <w:r w:rsidRPr="00DB450E">
        <w:rPr>
          <w:rFonts w:ascii="Bookman Old Style" w:hAnsi="Bookman Old Style"/>
          <w:sz w:val="16"/>
          <w:szCs w:val="16"/>
        </w:rPr>
        <w:t>uno specifico articolo nel regolamento generale delle entrate</w:t>
      </w:r>
      <w:r w:rsidR="00CF78EC">
        <w:rPr>
          <w:rFonts w:ascii="Bookman Old Style" w:hAnsi="Bookman Old Style"/>
          <w:sz w:val="16"/>
          <w:szCs w:val="16"/>
        </w:rPr>
        <w:t>, del seguente possibile tenore</w:t>
      </w:r>
      <w:r w:rsidRPr="00DB450E">
        <w:rPr>
          <w:rFonts w:ascii="Bookman Old Style" w:hAnsi="Bookman Old Style"/>
          <w:sz w:val="16"/>
          <w:szCs w:val="16"/>
        </w:rPr>
        <w:t>:</w:t>
      </w:r>
    </w:p>
    <w:p w14:paraId="63A93560" w14:textId="77777777" w:rsidR="00EE7001" w:rsidRPr="00DB450E" w:rsidRDefault="00EE7001" w:rsidP="00DB450E">
      <w:pPr>
        <w:pStyle w:val="Testonotaapidipagina"/>
        <w:jc w:val="both"/>
        <w:rPr>
          <w:rFonts w:ascii="Bookman Old Style" w:hAnsi="Bookman Old Style"/>
          <w:b/>
          <w:bCs/>
          <w:sz w:val="16"/>
          <w:szCs w:val="16"/>
        </w:rPr>
      </w:pPr>
      <w:r w:rsidRPr="00DB450E">
        <w:rPr>
          <w:rFonts w:ascii="Bookman Old Style" w:hAnsi="Bookman Old Style"/>
          <w:b/>
          <w:bCs/>
          <w:sz w:val="16"/>
          <w:szCs w:val="16"/>
        </w:rPr>
        <w:t>Articolo 5-</w:t>
      </w:r>
      <w:r w:rsidRPr="004D71B7">
        <w:rPr>
          <w:rFonts w:ascii="Bookman Old Style" w:hAnsi="Bookman Old Style"/>
          <w:b/>
          <w:bCs/>
          <w:i/>
          <w:iCs/>
          <w:sz w:val="16"/>
          <w:szCs w:val="16"/>
        </w:rPr>
        <w:t>bis</w:t>
      </w:r>
      <w:r w:rsidRPr="00DB450E">
        <w:rPr>
          <w:rFonts w:ascii="Bookman Old Style" w:hAnsi="Bookman Old Style"/>
          <w:b/>
          <w:bCs/>
          <w:sz w:val="16"/>
          <w:szCs w:val="16"/>
        </w:rPr>
        <w:t xml:space="preserve"> – Competenze nell’ambito degli istituti previsti dal “Codice della crisi di impresa e dell’insolvenza</w:t>
      </w:r>
    </w:p>
    <w:p w14:paraId="6D718C19" w14:textId="141E0A16" w:rsidR="00EE7001" w:rsidRPr="00DB450E" w:rsidRDefault="00EE7001" w:rsidP="00DB450E">
      <w:pPr>
        <w:pStyle w:val="Testonotaapidipagina"/>
        <w:jc w:val="both"/>
        <w:rPr>
          <w:rFonts w:ascii="Bookman Old Style" w:hAnsi="Bookman Old Style"/>
          <w:sz w:val="16"/>
          <w:szCs w:val="16"/>
        </w:rPr>
      </w:pPr>
      <w:r w:rsidRPr="00DB450E">
        <w:rPr>
          <w:rFonts w:ascii="Bookman Old Style" w:hAnsi="Bookman Old Style"/>
          <w:sz w:val="16"/>
          <w:szCs w:val="16"/>
        </w:rPr>
        <w:t xml:space="preserve">1. Con riferimento agli istituti previsti dal “Codice della crisi di impresa e dell’insolvenza”, di cui al decreto legislativo 12 gennaio 2019, n. 14, così come modificato dall’articolo 4, decreto legislativo 7 agosto 2026, n. 147, l’adesione agli strumenti di regolazione della crisi normativamente previsti è adottata con delibera della Giunta </w:t>
      </w:r>
      <w:r w:rsidR="003C38BC">
        <w:rPr>
          <w:rFonts w:ascii="Bookman Old Style" w:hAnsi="Bookman Old Style"/>
          <w:sz w:val="16"/>
          <w:szCs w:val="16"/>
        </w:rPr>
        <w:t>c</w:t>
      </w:r>
      <w:r w:rsidR="003C38BC" w:rsidRPr="00DB450E">
        <w:rPr>
          <w:rFonts w:ascii="Bookman Old Style" w:hAnsi="Bookman Old Style"/>
          <w:sz w:val="16"/>
          <w:szCs w:val="16"/>
        </w:rPr>
        <w:t>omunale</w:t>
      </w:r>
      <w:r w:rsidRPr="00DB450E">
        <w:rPr>
          <w:rFonts w:ascii="Bookman Old Style" w:hAnsi="Bookman Old Style"/>
          <w:sz w:val="16"/>
          <w:szCs w:val="16"/>
        </w:rPr>
        <w:t>, sulla base di una relazione tecnica predisposta dal funzionario responsabile del tributo comunale oggetto di falcidia che evidenzi il vantaggio dell’adesione rispetto all’alternativa della liquidazione giudiziale.</w:t>
      </w:r>
      <w:r w:rsidR="00CD3153" w:rsidRPr="00DB450E">
        <w:rPr>
          <w:rFonts w:ascii="Bookman Old Style" w:hAnsi="Bookman Old Style"/>
          <w:sz w:val="16"/>
          <w:szCs w:val="16"/>
        </w:rPr>
        <w:t xml:space="preserve"> Nel caso di entrata tributaria affidata ad uno dei soggetti di cui all’articolo 52, c</w:t>
      </w:r>
      <w:r w:rsidR="00855648" w:rsidRPr="00DB450E">
        <w:rPr>
          <w:rFonts w:ascii="Bookman Old Style" w:hAnsi="Bookman Old Style"/>
          <w:sz w:val="16"/>
          <w:szCs w:val="16"/>
        </w:rPr>
        <w:t>omma 5, lettera b), numeri 1), 2) e 3), del decreto legislativo 15 dicembre 1997, n. 446, la relazione tecnica è predisposta da tali soggetti.</w:t>
      </w:r>
    </w:p>
    <w:p w14:paraId="38188E53" w14:textId="686BA0F3" w:rsidR="00EE7001" w:rsidRPr="00DB450E" w:rsidRDefault="00EE7001" w:rsidP="00DB450E">
      <w:pPr>
        <w:pStyle w:val="Testonotaapidipagina"/>
        <w:jc w:val="both"/>
        <w:rPr>
          <w:rFonts w:ascii="Bookman Old Style" w:hAnsi="Bookman Old Style"/>
          <w:sz w:val="16"/>
          <w:szCs w:val="16"/>
        </w:rPr>
      </w:pPr>
      <w:r w:rsidRPr="00DB450E">
        <w:rPr>
          <w:rFonts w:ascii="Bookman Old Style" w:hAnsi="Bookman Old Style"/>
          <w:sz w:val="16"/>
          <w:szCs w:val="16"/>
        </w:rPr>
        <w:t>2. In ragione dell’importo oggetto di falcidia e della complessità dello strumento di regolazione della crisi</w:t>
      </w:r>
      <w:r w:rsidR="001D0758">
        <w:rPr>
          <w:rFonts w:ascii="Bookman Old Style" w:hAnsi="Bookman Old Style"/>
          <w:sz w:val="16"/>
          <w:szCs w:val="16"/>
        </w:rPr>
        <w:t>,</w:t>
      </w:r>
      <w:r w:rsidRPr="00DB450E">
        <w:rPr>
          <w:rFonts w:ascii="Bookman Old Style" w:hAnsi="Bookman Old Style"/>
          <w:sz w:val="16"/>
          <w:szCs w:val="16"/>
        </w:rPr>
        <w:t xml:space="preserve"> può essere richiesto un parere consultivo all’Organo di revisione.</w:t>
      </w:r>
    </w:p>
    <w:p w14:paraId="0A7B40F0" w14:textId="5F759AF3" w:rsidR="00EE7001" w:rsidRPr="00DB450E" w:rsidRDefault="00EE7001" w:rsidP="00DB450E">
      <w:pPr>
        <w:pStyle w:val="Testonotaapidipagina"/>
        <w:jc w:val="both"/>
        <w:rPr>
          <w:rFonts w:ascii="Bookman Old Style" w:hAnsi="Bookman Old Style"/>
          <w:sz w:val="16"/>
          <w:szCs w:val="16"/>
        </w:rPr>
      </w:pPr>
      <w:r w:rsidRPr="00DB450E">
        <w:rPr>
          <w:rFonts w:ascii="Bookman Old Style" w:hAnsi="Bookman Old Style"/>
          <w:sz w:val="16"/>
          <w:szCs w:val="16"/>
        </w:rPr>
        <w:t>3. La delibera di cui al comma 1 individua il dirigente tenuto a sottoscrivere gli atti</w:t>
      </w:r>
      <w:r w:rsidR="008339CE">
        <w:rPr>
          <w:rFonts w:ascii="Bookman Old Style" w:hAnsi="Bookman Old Style"/>
          <w:sz w:val="16"/>
          <w:szCs w:val="16"/>
        </w:rPr>
        <w:t>,</w:t>
      </w:r>
      <w:r w:rsidRPr="00DB450E">
        <w:rPr>
          <w:rFonts w:ascii="Bookman Old Style" w:hAnsi="Bookman Old Style"/>
          <w:sz w:val="16"/>
          <w:szCs w:val="16"/>
        </w:rPr>
        <w:t xml:space="preserve"> o ad esprimere il voto</w:t>
      </w:r>
      <w:r w:rsidR="00855648" w:rsidRPr="00DB450E">
        <w:rPr>
          <w:rFonts w:ascii="Bookman Old Style" w:hAnsi="Bookman Old Style"/>
          <w:sz w:val="16"/>
          <w:szCs w:val="16"/>
        </w:rPr>
        <w:t xml:space="preserve"> e</w:t>
      </w:r>
      <w:r w:rsidR="00556CC4" w:rsidRPr="00DB450E">
        <w:rPr>
          <w:rFonts w:ascii="Bookman Old Style" w:hAnsi="Bookman Old Style"/>
          <w:sz w:val="16"/>
          <w:szCs w:val="16"/>
        </w:rPr>
        <w:t xml:space="preserve">d atto di autorizzazione a procedere con </w:t>
      </w:r>
      <w:r w:rsidR="008339CE" w:rsidRPr="00DB450E">
        <w:rPr>
          <w:rFonts w:ascii="Bookman Old Style" w:hAnsi="Bookman Old Style"/>
          <w:sz w:val="16"/>
          <w:szCs w:val="16"/>
        </w:rPr>
        <w:t>riferiment</w:t>
      </w:r>
      <w:r w:rsidR="008339CE">
        <w:rPr>
          <w:rFonts w:ascii="Bookman Old Style" w:hAnsi="Bookman Old Style"/>
          <w:sz w:val="16"/>
          <w:szCs w:val="16"/>
        </w:rPr>
        <w:t>o</w:t>
      </w:r>
      <w:r w:rsidR="008339CE" w:rsidRPr="00DB450E">
        <w:rPr>
          <w:rFonts w:ascii="Bookman Old Style" w:hAnsi="Bookman Old Style"/>
          <w:sz w:val="16"/>
          <w:szCs w:val="16"/>
        </w:rPr>
        <w:t xml:space="preserve"> </w:t>
      </w:r>
      <w:r w:rsidR="00556CC4" w:rsidRPr="00DB450E">
        <w:rPr>
          <w:rFonts w:ascii="Bookman Old Style" w:hAnsi="Bookman Old Style"/>
          <w:sz w:val="16"/>
          <w:szCs w:val="16"/>
        </w:rPr>
        <w:t>ai soggetti di cui al secondo periodo del comma 1.</w:t>
      </w:r>
    </w:p>
  </w:footnote>
  <w:footnote w:id="3">
    <w:p w14:paraId="613D70DB" w14:textId="74A86814" w:rsidR="0076582C" w:rsidRDefault="0076582C" w:rsidP="00DB450E">
      <w:pPr>
        <w:pStyle w:val="Testonotaapidipagina"/>
        <w:jc w:val="both"/>
      </w:pPr>
      <w:r>
        <w:rPr>
          <w:rStyle w:val="Rimandonotaapidipagina"/>
        </w:rPr>
        <w:footnoteRef/>
      </w:r>
      <w:r>
        <w:t xml:space="preserve"> </w:t>
      </w:r>
      <w:r w:rsidRPr="00DB450E">
        <w:rPr>
          <w:rFonts w:ascii="Bookman Old Style" w:hAnsi="Bookman Old Style"/>
          <w:sz w:val="18"/>
          <w:szCs w:val="18"/>
        </w:rPr>
        <w:t>Come peraltro già ritenuto da IFEL nella Nota di approfondimento “</w:t>
      </w:r>
      <w:r w:rsidRPr="00DB450E">
        <w:rPr>
          <w:rFonts w:ascii="Bookman Old Style" w:hAnsi="Bookman Old Style"/>
          <w:i/>
          <w:iCs/>
          <w:sz w:val="18"/>
          <w:szCs w:val="18"/>
        </w:rPr>
        <w:t>Obbligo versamenti diretti delle entrate comunali (dl n. 193 del 2016</w:t>
      </w:r>
      <w:r w:rsidRPr="00DB450E">
        <w:rPr>
          <w:rFonts w:ascii="Bookman Old Style" w:hAnsi="Bookman Old Style"/>
          <w:sz w:val="18"/>
          <w:szCs w:val="18"/>
        </w:rPr>
        <w:t>)” del 22 dicembre 2016.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87"/>
      <w:gridCol w:w="4641"/>
    </w:tblGrid>
    <w:tr w:rsidR="00110BBB" w14:paraId="2F4D9936" w14:textId="1043C106" w:rsidTr="00AC0539">
      <w:tc>
        <w:tcPr>
          <w:tcW w:w="4987" w:type="dxa"/>
        </w:tcPr>
        <w:p w14:paraId="75393906" w14:textId="77777777" w:rsidR="00110BBB" w:rsidRDefault="00110BBB" w:rsidP="00AC0539">
          <w:pPr>
            <w:pStyle w:val="Intestazione"/>
            <w:ind w:left="169"/>
          </w:pPr>
          <w:r w:rsidRPr="0038123F">
            <w:rPr>
              <w:noProof/>
            </w:rPr>
            <w:drawing>
              <wp:inline distT="0" distB="0" distL="0" distR="0" wp14:anchorId="4EFB742C" wp14:editId="1FA4A7BC">
                <wp:extent cx="416966" cy="616384"/>
                <wp:effectExtent l="0" t="0" r="2540" b="0"/>
                <wp:docPr id="67791137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347447" name="Immagine 1946347447"/>
                        <pic:cNvPicPr/>
                      </pic:nvPicPr>
                      <pic:blipFill>
                        <a:blip r:embed="rId1">
                          <a:extLst>
                            <a:ext uri="{28A0092B-C50C-407E-A947-70E740481C1C}">
                              <a14:useLocalDpi xmlns:a14="http://schemas.microsoft.com/office/drawing/2010/main" val="0"/>
                            </a:ext>
                          </a:extLst>
                        </a:blip>
                        <a:stretch>
                          <a:fillRect/>
                        </a:stretch>
                      </pic:blipFill>
                      <pic:spPr>
                        <a:xfrm>
                          <a:off x="0" y="0"/>
                          <a:ext cx="431600" cy="638017"/>
                        </a:xfrm>
                        <a:prstGeom prst="rect">
                          <a:avLst/>
                        </a:prstGeom>
                      </pic:spPr>
                    </pic:pic>
                  </a:graphicData>
                </a:graphic>
              </wp:inline>
            </w:drawing>
          </w:r>
        </w:p>
      </w:tc>
      <w:tc>
        <w:tcPr>
          <w:tcW w:w="4641" w:type="dxa"/>
          <w:vAlign w:val="center"/>
        </w:tcPr>
        <w:p w14:paraId="1250B65C" w14:textId="414A8988" w:rsidR="00110BBB" w:rsidRPr="0038123F" w:rsidRDefault="00110BBB" w:rsidP="00AC0539">
          <w:pPr>
            <w:pStyle w:val="Intestazione"/>
            <w:ind w:right="171"/>
            <w:jc w:val="right"/>
            <w:rPr>
              <w:noProof/>
            </w:rPr>
          </w:pPr>
          <w:r>
            <w:rPr>
              <w:noProof/>
            </w:rPr>
            <w:drawing>
              <wp:inline distT="0" distB="0" distL="0" distR="0" wp14:anchorId="638AF142" wp14:editId="06EDF754">
                <wp:extent cx="585751" cy="490118"/>
                <wp:effectExtent l="0" t="0" r="5080" b="5715"/>
                <wp:docPr id="1245116431"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5116431" name="Immagine 1245116431"/>
                        <pic:cNvPicPr/>
                      </pic:nvPicPr>
                      <pic:blipFill>
                        <a:blip r:embed="rId2">
                          <a:extLst>
                            <a:ext uri="{28A0092B-C50C-407E-A947-70E740481C1C}">
                              <a14:useLocalDpi xmlns:a14="http://schemas.microsoft.com/office/drawing/2010/main" val="0"/>
                            </a:ext>
                          </a:extLst>
                        </a:blip>
                        <a:stretch>
                          <a:fillRect/>
                        </a:stretch>
                      </pic:blipFill>
                      <pic:spPr>
                        <a:xfrm>
                          <a:off x="0" y="0"/>
                          <a:ext cx="592165" cy="495485"/>
                        </a:xfrm>
                        <a:prstGeom prst="rect">
                          <a:avLst/>
                        </a:prstGeom>
                      </pic:spPr>
                    </pic:pic>
                  </a:graphicData>
                </a:graphic>
              </wp:inline>
            </w:drawing>
          </w:r>
        </w:p>
      </w:tc>
    </w:tr>
  </w:tbl>
  <w:p w14:paraId="66AE5337" w14:textId="50EED39E" w:rsidR="00B94CAC" w:rsidRDefault="00B94CAC" w:rsidP="0038123F">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A435B4"/>
    <w:multiLevelType w:val="hybridMultilevel"/>
    <w:tmpl w:val="D116E1B6"/>
    <w:lvl w:ilvl="0" w:tplc="BAA00D7C">
      <w:start w:val="1"/>
      <w:numFmt w:val="bullet"/>
      <w:lvlText w:val="-"/>
      <w:lvlJc w:val="left"/>
      <w:pPr>
        <w:ind w:left="720" w:hanging="360"/>
      </w:pPr>
      <w:rPr>
        <w:rFonts w:ascii="Bookman Old Style" w:eastAsiaTheme="minorHAnsi" w:hAnsi="Bookman Old Style"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21092307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4466"/>
    <w:rsid w:val="000000C2"/>
    <w:rsid w:val="000003C3"/>
    <w:rsid w:val="00005B14"/>
    <w:rsid w:val="000145E4"/>
    <w:rsid w:val="000160CD"/>
    <w:rsid w:val="000205F3"/>
    <w:rsid w:val="00032852"/>
    <w:rsid w:val="00033746"/>
    <w:rsid w:val="00045A5E"/>
    <w:rsid w:val="00050B1B"/>
    <w:rsid w:val="00052A58"/>
    <w:rsid w:val="00070061"/>
    <w:rsid w:val="00071782"/>
    <w:rsid w:val="000733A1"/>
    <w:rsid w:val="00082995"/>
    <w:rsid w:val="00085715"/>
    <w:rsid w:val="00096CB3"/>
    <w:rsid w:val="000A0D13"/>
    <w:rsid w:val="000C2413"/>
    <w:rsid w:val="000C50BE"/>
    <w:rsid w:val="000D0972"/>
    <w:rsid w:val="000D2691"/>
    <w:rsid w:val="00102D64"/>
    <w:rsid w:val="0010456B"/>
    <w:rsid w:val="00110BBB"/>
    <w:rsid w:val="00113155"/>
    <w:rsid w:val="00122336"/>
    <w:rsid w:val="001226E9"/>
    <w:rsid w:val="00126E61"/>
    <w:rsid w:val="0013159B"/>
    <w:rsid w:val="001320E8"/>
    <w:rsid w:val="00142C93"/>
    <w:rsid w:val="001449B1"/>
    <w:rsid w:val="001510DB"/>
    <w:rsid w:val="001550C1"/>
    <w:rsid w:val="00155C34"/>
    <w:rsid w:val="0015669B"/>
    <w:rsid w:val="00173309"/>
    <w:rsid w:val="00174F41"/>
    <w:rsid w:val="00182F83"/>
    <w:rsid w:val="00185EA8"/>
    <w:rsid w:val="00190412"/>
    <w:rsid w:val="001953B9"/>
    <w:rsid w:val="00195799"/>
    <w:rsid w:val="001A66E6"/>
    <w:rsid w:val="001C2914"/>
    <w:rsid w:val="001D0758"/>
    <w:rsid w:val="001D3BE5"/>
    <w:rsid w:val="001D6C1B"/>
    <w:rsid w:val="001E1098"/>
    <w:rsid w:val="001E59A6"/>
    <w:rsid w:val="001E6B15"/>
    <w:rsid w:val="00202160"/>
    <w:rsid w:val="002150D9"/>
    <w:rsid w:val="002212F7"/>
    <w:rsid w:val="002238E6"/>
    <w:rsid w:val="002340FA"/>
    <w:rsid w:val="00237899"/>
    <w:rsid w:val="00240718"/>
    <w:rsid w:val="002437A4"/>
    <w:rsid w:val="00246A0E"/>
    <w:rsid w:val="0027034C"/>
    <w:rsid w:val="00277C5A"/>
    <w:rsid w:val="002914FE"/>
    <w:rsid w:val="002A6308"/>
    <w:rsid w:val="002B0D35"/>
    <w:rsid w:val="002C193C"/>
    <w:rsid w:val="002C6748"/>
    <w:rsid w:val="002D11C6"/>
    <w:rsid w:val="002D344E"/>
    <w:rsid w:val="002D5633"/>
    <w:rsid w:val="002E2C30"/>
    <w:rsid w:val="002E4590"/>
    <w:rsid w:val="002F4881"/>
    <w:rsid w:val="002F671C"/>
    <w:rsid w:val="002F6932"/>
    <w:rsid w:val="002F6987"/>
    <w:rsid w:val="00301243"/>
    <w:rsid w:val="00301835"/>
    <w:rsid w:val="00303325"/>
    <w:rsid w:val="00321AFB"/>
    <w:rsid w:val="00333569"/>
    <w:rsid w:val="003411E2"/>
    <w:rsid w:val="00345AA3"/>
    <w:rsid w:val="00345D1F"/>
    <w:rsid w:val="00354DA9"/>
    <w:rsid w:val="00361DFF"/>
    <w:rsid w:val="00365FA8"/>
    <w:rsid w:val="00377585"/>
    <w:rsid w:val="0037784C"/>
    <w:rsid w:val="0038123F"/>
    <w:rsid w:val="00383D0B"/>
    <w:rsid w:val="0039670D"/>
    <w:rsid w:val="003B23A9"/>
    <w:rsid w:val="003C1D6E"/>
    <w:rsid w:val="003C38BC"/>
    <w:rsid w:val="003D0528"/>
    <w:rsid w:val="003D52FA"/>
    <w:rsid w:val="003F0A72"/>
    <w:rsid w:val="00412570"/>
    <w:rsid w:val="00423B8B"/>
    <w:rsid w:val="004306F8"/>
    <w:rsid w:val="00436DCC"/>
    <w:rsid w:val="00450F38"/>
    <w:rsid w:val="0045644B"/>
    <w:rsid w:val="00457A19"/>
    <w:rsid w:val="0046084B"/>
    <w:rsid w:val="00463A5E"/>
    <w:rsid w:val="004725B5"/>
    <w:rsid w:val="004729AD"/>
    <w:rsid w:val="004745D4"/>
    <w:rsid w:val="00496C87"/>
    <w:rsid w:val="00497F91"/>
    <w:rsid w:val="004B5B63"/>
    <w:rsid w:val="004C1802"/>
    <w:rsid w:val="004C2F5F"/>
    <w:rsid w:val="004C3DB0"/>
    <w:rsid w:val="004C5A72"/>
    <w:rsid w:val="004D71B7"/>
    <w:rsid w:val="004E04F2"/>
    <w:rsid w:val="004E07E2"/>
    <w:rsid w:val="004F1D35"/>
    <w:rsid w:val="004F3F3C"/>
    <w:rsid w:val="00507826"/>
    <w:rsid w:val="00510CAB"/>
    <w:rsid w:val="0051492E"/>
    <w:rsid w:val="0051726E"/>
    <w:rsid w:val="0052591F"/>
    <w:rsid w:val="005342DE"/>
    <w:rsid w:val="0053744B"/>
    <w:rsid w:val="00537872"/>
    <w:rsid w:val="005460DB"/>
    <w:rsid w:val="00551704"/>
    <w:rsid w:val="00554256"/>
    <w:rsid w:val="00556CC4"/>
    <w:rsid w:val="005620E4"/>
    <w:rsid w:val="00581F71"/>
    <w:rsid w:val="005872C7"/>
    <w:rsid w:val="00593E3A"/>
    <w:rsid w:val="00597E5B"/>
    <w:rsid w:val="005A2168"/>
    <w:rsid w:val="005B0806"/>
    <w:rsid w:val="005B2EA4"/>
    <w:rsid w:val="005C58EA"/>
    <w:rsid w:val="005C6518"/>
    <w:rsid w:val="005C6963"/>
    <w:rsid w:val="005D1765"/>
    <w:rsid w:val="005D33C6"/>
    <w:rsid w:val="005D5B51"/>
    <w:rsid w:val="005E1B79"/>
    <w:rsid w:val="005E332A"/>
    <w:rsid w:val="005E3D35"/>
    <w:rsid w:val="005F1858"/>
    <w:rsid w:val="005F28DA"/>
    <w:rsid w:val="00601528"/>
    <w:rsid w:val="006059BE"/>
    <w:rsid w:val="00607FEA"/>
    <w:rsid w:val="006101C1"/>
    <w:rsid w:val="0061035C"/>
    <w:rsid w:val="00610BF9"/>
    <w:rsid w:val="00627449"/>
    <w:rsid w:val="00631F69"/>
    <w:rsid w:val="0065036F"/>
    <w:rsid w:val="00656936"/>
    <w:rsid w:val="00660A0F"/>
    <w:rsid w:val="00664290"/>
    <w:rsid w:val="00671DDF"/>
    <w:rsid w:val="006806F5"/>
    <w:rsid w:val="00682D9F"/>
    <w:rsid w:val="006A0226"/>
    <w:rsid w:val="006A11A6"/>
    <w:rsid w:val="006B5299"/>
    <w:rsid w:val="006C496D"/>
    <w:rsid w:val="006C5B04"/>
    <w:rsid w:val="006D2928"/>
    <w:rsid w:val="006D4FBE"/>
    <w:rsid w:val="006E420F"/>
    <w:rsid w:val="006E4EA0"/>
    <w:rsid w:val="006E7FC9"/>
    <w:rsid w:val="006F5529"/>
    <w:rsid w:val="0070039B"/>
    <w:rsid w:val="007038B8"/>
    <w:rsid w:val="0070666A"/>
    <w:rsid w:val="00706C1B"/>
    <w:rsid w:val="007113C3"/>
    <w:rsid w:val="00713C4F"/>
    <w:rsid w:val="0071634A"/>
    <w:rsid w:val="007321E8"/>
    <w:rsid w:val="0074545A"/>
    <w:rsid w:val="007501D1"/>
    <w:rsid w:val="00756BFD"/>
    <w:rsid w:val="007572C0"/>
    <w:rsid w:val="00763B3E"/>
    <w:rsid w:val="0076582C"/>
    <w:rsid w:val="00770DD2"/>
    <w:rsid w:val="00770F62"/>
    <w:rsid w:val="00775EE3"/>
    <w:rsid w:val="00776092"/>
    <w:rsid w:val="00785201"/>
    <w:rsid w:val="007971F5"/>
    <w:rsid w:val="007A1EFF"/>
    <w:rsid w:val="007B29AF"/>
    <w:rsid w:val="007B301D"/>
    <w:rsid w:val="007B3DDD"/>
    <w:rsid w:val="007B6A98"/>
    <w:rsid w:val="007C1818"/>
    <w:rsid w:val="007C2D7A"/>
    <w:rsid w:val="007C344D"/>
    <w:rsid w:val="007C7FA3"/>
    <w:rsid w:val="007D3035"/>
    <w:rsid w:val="007E7F64"/>
    <w:rsid w:val="007F2FFB"/>
    <w:rsid w:val="007F7BAD"/>
    <w:rsid w:val="00801A7A"/>
    <w:rsid w:val="00802630"/>
    <w:rsid w:val="00803FCC"/>
    <w:rsid w:val="00815B19"/>
    <w:rsid w:val="008178CE"/>
    <w:rsid w:val="00823025"/>
    <w:rsid w:val="008339CE"/>
    <w:rsid w:val="00835817"/>
    <w:rsid w:val="00837A6C"/>
    <w:rsid w:val="008424E0"/>
    <w:rsid w:val="00843231"/>
    <w:rsid w:val="00853475"/>
    <w:rsid w:val="00853C4F"/>
    <w:rsid w:val="00855648"/>
    <w:rsid w:val="008625FD"/>
    <w:rsid w:val="008677E7"/>
    <w:rsid w:val="00873793"/>
    <w:rsid w:val="00880FD7"/>
    <w:rsid w:val="00884C06"/>
    <w:rsid w:val="0089719E"/>
    <w:rsid w:val="008A34B4"/>
    <w:rsid w:val="008B143A"/>
    <w:rsid w:val="008B4A83"/>
    <w:rsid w:val="008B62B0"/>
    <w:rsid w:val="008B7D4F"/>
    <w:rsid w:val="008C23C3"/>
    <w:rsid w:val="008D50C3"/>
    <w:rsid w:val="008E486A"/>
    <w:rsid w:val="008F6E6F"/>
    <w:rsid w:val="008F7F77"/>
    <w:rsid w:val="00907FBE"/>
    <w:rsid w:val="00917F6A"/>
    <w:rsid w:val="00921AD5"/>
    <w:rsid w:val="00927934"/>
    <w:rsid w:val="00930809"/>
    <w:rsid w:val="009320AF"/>
    <w:rsid w:val="009350EB"/>
    <w:rsid w:val="00951AEC"/>
    <w:rsid w:val="0095608F"/>
    <w:rsid w:val="00962383"/>
    <w:rsid w:val="00962D5F"/>
    <w:rsid w:val="00986179"/>
    <w:rsid w:val="009C5B16"/>
    <w:rsid w:val="009E144F"/>
    <w:rsid w:val="009E28D9"/>
    <w:rsid w:val="009E2BB5"/>
    <w:rsid w:val="009F5C41"/>
    <w:rsid w:val="00A10494"/>
    <w:rsid w:val="00A20431"/>
    <w:rsid w:val="00A248D6"/>
    <w:rsid w:val="00A40516"/>
    <w:rsid w:val="00A44E81"/>
    <w:rsid w:val="00A47DDD"/>
    <w:rsid w:val="00A54683"/>
    <w:rsid w:val="00A60132"/>
    <w:rsid w:val="00A664E2"/>
    <w:rsid w:val="00A70F10"/>
    <w:rsid w:val="00A826E4"/>
    <w:rsid w:val="00A91565"/>
    <w:rsid w:val="00AC0539"/>
    <w:rsid w:val="00AC30B8"/>
    <w:rsid w:val="00AD3FF2"/>
    <w:rsid w:val="00AF2E8E"/>
    <w:rsid w:val="00AF42F9"/>
    <w:rsid w:val="00AF4D2B"/>
    <w:rsid w:val="00B05FA8"/>
    <w:rsid w:val="00B11641"/>
    <w:rsid w:val="00B26C61"/>
    <w:rsid w:val="00B41826"/>
    <w:rsid w:val="00B45028"/>
    <w:rsid w:val="00B51DE0"/>
    <w:rsid w:val="00B522B6"/>
    <w:rsid w:val="00B530CC"/>
    <w:rsid w:val="00B572CB"/>
    <w:rsid w:val="00B70714"/>
    <w:rsid w:val="00B70C54"/>
    <w:rsid w:val="00B74F46"/>
    <w:rsid w:val="00B94CAC"/>
    <w:rsid w:val="00BA74FC"/>
    <w:rsid w:val="00BB1726"/>
    <w:rsid w:val="00BB5149"/>
    <w:rsid w:val="00BB739A"/>
    <w:rsid w:val="00BC1FA3"/>
    <w:rsid w:val="00BC26FD"/>
    <w:rsid w:val="00BD017B"/>
    <w:rsid w:val="00BD1F88"/>
    <w:rsid w:val="00BD69C8"/>
    <w:rsid w:val="00BE0E63"/>
    <w:rsid w:val="00BE3A4D"/>
    <w:rsid w:val="00BE7769"/>
    <w:rsid w:val="00BF1056"/>
    <w:rsid w:val="00BF4FAC"/>
    <w:rsid w:val="00BF5FD9"/>
    <w:rsid w:val="00C016F5"/>
    <w:rsid w:val="00C0526E"/>
    <w:rsid w:val="00C07808"/>
    <w:rsid w:val="00C11E4E"/>
    <w:rsid w:val="00C12591"/>
    <w:rsid w:val="00C20607"/>
    <w:rsid w:val="00C21A45"/>
    <w:rsid w:val="00C2584B"/>
    <w:rsid w:val="00C26D00"/>
    <w:rsid w:val="00C30704"/>
    <w:rsid w:val="00C3503F"/>
    <w:rsid w:val="00C3769F"/>
    <w:rsid w:val="00C47A61"/>
    <w:rsid w:val="00C52BC8"/>
    <w:rsid w:val="00C56425"/>
    <w:rsid w:val="00C576E1"/>
    <w:rsid w:val="00C6070F"/>
    <w:rsid w:val="00C6356E"/>
    <w:rsid w:val="00C64838"/>
    <w:rsid w:val="00C679FE"/>
    <w:rsid w:val="00C9120C"/>
    <w:rsid w:val="00C932EC"/>
    <w:rsid w:val="00C976A7"/>
    <w:rsid w:val="00CA5D3C"/>
    <w:rsid w:val="00CB3286"/>
    <w:rsid w:val="00CC486A"/>
    <w:rsid w:val="00CD00CD"/>
    <w:rsid w:val="00CD3153"/>
    <w:rsid w:val="00CD5DA6"/>
    <w:rsid w:val="00CE266B"/>
    <w:rsid w:val="00CE6BAF"/>
    <w:rsid w:val="00CE737A"/>
    <w:rsid w:val="00CE758A"/>
    <w:rsid w:val="00CF78EC"/>
    <w:rsid w:val="00D01558"/>
    <w:rsid w:val="00D05ADF"/>
    <w:rsid w:val="00D06EB0"/>
    <w:rsid w:val="00D10ABC"/>
    <w:rsid w:val="00D271A9"/>
    <w:rsid w:val="00D313FE"/>
    <w:rsid w:val="00D32DF6"/>
    <w:rsid w:val="00D35CDD"/>
    <w:rsid w:val="00D423D0"/>
    <w:rsid w:val="00D432D0"/>
    <w:rsid w:val="00D46104"/>
    <w:rsid w:val="00D461ED"/>
    <w:rsid w:val="00D612BB"/>
    <w:rsid w:val="00D625E3"/>
    <w:rsid w:val="00D772FC"/>
    <w:rsid w:val="00D94769"/>
    <w:rsid w:val="00D94F87"/>
    <w:rsid w:val="00DA1518"/>
    <w:rsid w:val="00DB450E"/>
    <w:rsid w:val="00DC111B"/>
    <w:rsid w:val="00DC5963"/>
    <w:rsid w:val="00DE09F0"/>
    <w:rsid w:val="00DF07F0"/>
    <w:rsid w:val="00DF2345"/>
    <w:rsid w:val="00E15DE8"/>
    <w:rsid w:val="00E15E1D"/>
    <w:rsid w:val="00E25975"/>
    <w:rsid w:val="00E27E77"/>
    <w:rsid w:val="00E30BB1"/>
    <w:rsid w:val="00E420E6"/>
    <w:rsid w:val="00E426FA"/>
    <w:rsid w:val="00E430DF"/>
    <w:rsid w:val="00E52634"/>
    <w:rsid w:val="00E65C8D"/>
    <w:rsid w:val="00E70613"/>
    <w:rsid w:val="00E8685E"/>
    <w:rsid w:val="00E92DCC"/>
    <w:rsid w:val="00E92F16"/>
    <w:rsid w:val="00E9741F"/>
    <w:rsid w:val="00EA1836"/>
    <w:rsid w:val="00EA43B8"/>
    <w:rsid w:val="00EA5EFC"/>
    <w:rsid w:val="00EA6054"/>
    <w:rsid w:val="00EC34D9"/>
    <w:rsid w:val="00EC45A0"/>
    <w:rsid w:val="00EE2E5B"/>
    <w:rsid w:val="00EE3442"/>
    <w:rsid w:val="00EE7001"/>
    <w:rsid w:val="00EF264A"/>
    <w:rsid w:val="00EF3C01"/>
    <w:rsid w:val="00F13188"/>
    <w:rsid w:val="00F20204"/>
    <w:rsid w:val="00F2228E"/>
    <w:rsid w:val="00F24351"/>
    <w:rsid w:val="00F347C9"/>
    <w:rsid w:val="00F34C20"/>
    <w:rsid w:val="00F417D6"/>
    <w:rsid w:val="00F5099C"/>
    <w:rsid w:val="00F51F16"/>
    <w:rsid w:val="00F65863"/>
    <w:rsid w:val="00F7116A"/>
    <w:rsid w:val="00F74A38"/>
    <w:rsid w:val="00F75265"/>
    <w:rsid w:val="00F76428"/>
    <w:rsid w:val="00F8105B"/>
    <w:rsid w:val="00F87566"/>
    <w:rsid w:val="00FA481C"/>
    <w:rsid w:val="00FA5683"/>
    <w:rsid w:val="00FB4466"/>
    <w:rsid w:val="00FE39C7"/>
    <w:rsid w:val="00FE4CA7"/>
    <w:rsid w:val="00FF6254"/>
    <w:rsid w:val="00FF653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FF82FC"/>
  <w15:chartTrackingRefBased/>
  <w15:docId w15:val="{809B016B-A40F-49E4-BE8A-71F107687E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FB44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unhideWhenUsed/>
    <w:qFormat/>
    <w:rsid w:val="00FB44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unhideWhenUsed/>
    <w:qFormat/>
    <w:rsid w:val="00FB4466"/>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FB4466"/>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FB4466"/>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FB4466"/>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FB4466"/>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FB4466"/>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FB4466"/>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FB4466"/>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rsid w:val="00FB4466"/>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rsid w:val="00FB4466"/>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FB4466"/>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FB4466"/>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FB4466"/>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FB4466"/>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FB4466"/>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FB4466"/>
    <w:rPr>
      <w:rFonts w:eastAsiaTheme="majorEastAsia" w:cstheme="majorBidi"/>
      <w:color w:val="272727" w:themeColor="text1" w:themeTint="D8"/>
    </w:rPr>
  </w:style>
  <w:style w:type="paragraph" w:styleId="Titolo">
    <w:name w:val="Title"/>
    <w:basedOn w:val="Normale"/>
    <w:next w:val="Normale"/>
    <w:link w:val="TitoloCarattere"/>
    <w:uiPriority w:val="10"/>
    <w:qFormat/>
    <w:rsid w:val="00FB44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FB4466"/>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FB4466"/>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FB4466"/>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FB4466"/>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FB4466"/>
    <w:rPr>
      <w:i/>
      <w:iCs/>
      <w:color w:val="404040" w:themeColor="text1" w:themeTint="BF"/>
    </w:rPr>
  </w:style>
  <w:style w:type="paragraph" w:styleId="Paragrafoelenco">
    <w:name w:val="List Paragraph"/>
    <w:basedOn w:val="Normale"/>
    <w:uiPriority w:val="34"/>
    <w:qFormat/>
    <w:rsid w:val="00FB4466"/>
    <w:pPr>
      <w:ind w:left="720"/>
      <w:contextualSpacing/>
    </w:pPr>
  </w:style>
  <w:style w:type="character" w:styleId="Enfasiintensa">
    <w:name w:val="Intense Emphasis"/>
    <w:basedOn w:val="Carpredefinitoparagrafo"/>
    <w:uiPriority w:val="21"/>
    <w:qFormat/>
    <w:rsid w:val="00FB4466"/>
    <w:rPr>
      <w:i/>
      <w:iCs/>
      <w:color w:val="0F4761" w:themeColor="accent1" w:themeShade="BF"/>
    </w:rPr>
  </w:style>
  <w:style w:type="paragraph" w:styleId="Citazioneintensa">
    <w:name w:val="Intense Quote"/>
    <w:basedOn w:val="Normale"/>
    <w:next w:val="Normale"/>
    <w:link w:val="CitazioneintensaCarattere"/>
    <w:uiPriority w:val="30"/>
    <w:qFormat/>
    <w:rsid w:val="00FB44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FB4466"/>
    <w:rPr>
      <w:i/>
      <w:iCs/>
      <w:color w:val="0F4761" w:themeColor="accent1" w:themeShade="BF"/>
    </w:rPr>
  </w:style>
  <w:style w:type="character" w:styleId="Riferimentointenso">
    <w:name w:val="Intense Reference"/>
    <w:basedOn w:val="Carpredefinitoparagrafo"/>
    <w:uiPriority w:val="32"/>
    <w:qFormat/>
    <w:rsid w:val="00FB4466"/>
    <w:rPr>
      <w:b/>
      <w:bCs/>
      <w:smallCaps/>
      <w:color w:val="0F4761" w:themeColor="accent1" w:themeShade="BF"/>
      <w:spacing w:val="5"/>
    </w:rPr>
  </w:style>
  <w:style w:type="paragraph" w:styleId="Titolosommario">
    <w:name w:val="TOC Heading"/>
    <w:basedOn w:val="Titolo1"/>
    <w:next w:val="Normale"/>
    <w:uiPriority w:val="39"/>
    <w:unhideWhenUsed/>
    <w:qFormat/>
    <w:rsid w:val="00E9741F"/>
    <w:pPr>
      <w:spacing w:before="240" w:after="0" w:line="259" w:lineRule="auto"/>
      <w:outlineLvl w:val="9"/>
    </w:pPr>
    <w:rPr>
      <w:kern w:val="0"/>
      <w:sz w:val="32"/>
      <w:szCs w:val="32"/>
      <w:lang w:eastAsia="it-IT"/>
      <w14:ligatures w14:val="none"/>
    </w:rPr>
  </w:style>
  <w:style w:type="paragraph" w:styleId="Sommario2">
    <w:name w:val="toc 2"/>
    <w:basedOn w:val="Normale"/>
    <w:next w:val="Normale"/>
    <w:autoRedefine/>
    <w:uiPriority w:val="39"/>
    <w:unhideWhenUsed/>
    <w:rsid w:val="008A34B4"/>
    <w:pPr>
      <w:tabs>
        <w:tab w:val="right" w:leader="dot" w:pos="9628"/>
      </w:tabs>
      <w:spacing w:after="40"/>
    </w:pPr>
    <w:rPr>
      <w:rFonts w:ascii="Bookman Old Style" w:hAnsi="Bookman Old Style"/>
      <w:b/>
      <w:bCs/>
      <w:noProof/>
      <w:sz w:val="20"/>
      <w:szCs w:val="20"/>
    </w:rPr>
  </w:style>
  <w:style w:type="character" w:styleId="Collegamentoipertestuale">
    <w:name w:val="Hyperlink"/>
    <w:basedOn w:val="Carpredefinitoparagrafo"/>
    <w:uiPriority w:val="99"/>
    <w:unhideWhenUsed/>
    <w:rsid w:val="00CE758A"/>
    <w:rPr>
      <w:color w:val="467886" w:themeColor="hyperlink"/>
      <w:u w:val="single"/>
    </w:rPr>
  </w:style>
  <w:style w:type="paragraph" w:styleId="Intestazione">
    <w:name w:val="header"/>
    <w:basedOn w:val="Normale"/>
    <w:link w:val="IntestazioneCarattere"/>
    <w:uiPriority w:val="99"/>
    <w:unhideWhenUsed/>
    <w:rsid w:val="0012233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122336"/>
  </w:style>
  <w:style w:type="paragraph" w:styleId="Pidipagina">
    <w:name w:val="footer"/>
    <w:basedOn w:val="Normale"/>
    <w:link w:val="PidipaginaCarattere"/>
    <w:uiPriority w:val="99"/>
    <w:unhideWhenUsed/>
    <w:rsid w:val="0012233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22336"/>
  </w:style>
  <w:style w:type="paragraph" w:styleId="Revisione">
    <w:name w:val="Revision"/>
    <w:hidden/>
    <w:uiPriority w:val="99"/>
    <w:semiHidden/>
    <w:rsid w:val="00C2584B"/>
    <w:pPr>
      <w:spacing w:after="0" w:line="240" w:lineRule="auto"/>
    </w:pPr>
  </w:style>
  <w:style w:type="paragraph" w:styleId="Sommario3">
    <w:name w:val="toc 3"/>
    <w:basedOn w:val="Normale"/>
    <w:next w:val="Normale"/>
    <w:autoRedefine/>
    <w:uiPriority w:val="39"/>
    <w:unhideWhenUsed/>
    <w:rsid w:val="005F1858"/>
    <w:pPr>
      <w:spacing w:after="100"/>
      <w:ind w:left="480"/>
    </w:pPr>
  </w:style>
  <w:style w:type="paragraph" w:styleId="Testonotaapidipagina">
    <w:name w:val="footnote text"/>
    <w:basedOn w:val="Normale"/>
    <w:link w:val="TestonotaapidipaginaCarattere"/>
    <w:uiPriority w:val="99"/>
    <w:semiHidden/>
    <w:unhideWhenUsed/>
    <w:rsid w:val="00C3503F"/>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C3503F"/>
    <w:rPr>
      <w:sz w:val="20"/>
      <w:szCs w:val="20"/>
    </w:rPr>
  </w:style>
  <w:style w:type="character" w:styleId="Rimandonotaapidipagina">
    <w:name w:val="footnote reference"/>
    <w:basedOn w:val="Carpredefinitoparagrafo"/>
    <w:uiPriority w:val="99"/>
    <w:semiHidden/>
    <w:unhideWhenUsed/>
    <w:rsid w:val="00C3503F"/>
    <w:rPr>
      <w:vertAlign w:val="superscript"/>
    </w:rPr>
  </w:style>
  <w:style w:type="table" w:styleId="Grigliatabella">
    <w:name w:val="Table Grid"/>
    <w:basedOn w:val="Tabellanormale"/>
    <w:uiPriority w:val="39"/>
    <w:rsid w:val="003812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zionenonrisolta">
    <w:name w:val="Unresolved Mention"/>
    <w:basedOn w:val="Carpredefinitoparagrafo"/>
    <w:uiPriority w:val="99"/>
    <w:semiHidden/>
    <w:unhideWhenUsed/>
    <w:rsid w:val="000000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fondazioneifel.it/documenti-e-pubblicazioni/item/download/6012_0852959a558fad2dc8bcff1669faa7e9"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7EBC5E-4154-4DE0-8CBC-58E0CE36F3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21</Pages>
  <Words>9601</Words>
  <Characters>54729</Characters>
  <Application>Microsoft Office Word</Application>
  <DocSecurity>0</DocSecurity>
  <Lines>456</Lines>
  <Paragraphs>128</Paragraphs>
  <ScaleCrop>false</ScaleCrop>
  <Company/>
  <LinksUpToDate>false</LinksUpToDate>
  <CharactersWithSpaces>64202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Francesca Proia</cp:lastModifiedBy>
  <cp:revision>12</cp:revision>
  <dcterms:created xsi:type="dcterms:W3CDTF">2026-09-23T18:02:00Z</dcterms:created>
  <dcterms:modified xsi:type="dcterms:W3CDTF">2026-09-24T09:32:00Z</dcterms:modified>
</cp:coreProperties>
</file>